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6A6E9E4B" wp14:editId="30BB8999">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w:t>
      </w:r>
      <w:r w:rsidR="007A5742">
        <w:rPr>
          <w:b/>
          <w:bCs/>
          <w:color w:val="000066"/>
          <w:sz w:val="22"/>
          <w:szCs w:val="22"/>
        </w:rPr>
        <w:t>SANTE SEXUELLE</w:t>
      </w:r>
      <w:r w:rsidR="005317B1">
        <w:rPr>
          <w:b/>
          <w:bCs/>
          <w:color w:val="000066"/>
          <w:sz w:val="22"/>
          <w:szCs w:val="22"/>
        </w:rPr>
        <w:t xml:space="preserve"> </w:t>
      </w:r>
    </w:p>
    <w:p w:rsidR="008D75CA" w:rsidRDefault="008D75CA" w:rsidP="00826BA3">
      <w:pPr>
        <w:pStyle w:val="Default"/>
        <w:spacing w:line="264" w:lineRule="auto"/>
        <w:jc w:val="center"/>
        <w:rPr>
          <w:b/>
          <w:bCs/>
          <w:color w:val="000066"/>
          <w:sz w:val="22"/>
          <w:szCs w:val="22"/>
        </w:rPr>
      </w:pPr>
      <w:r>
        <w:rPr>
          <w:b/>
          <w:bCs/>
          <w:color w:val="000066"/>
          <w:sz w:val="22"/>
          <w:szCs w:val="22"/>
        </w:rPr>
        <w:t>APPEL A PROJETS 202</w:t>
      </w:r>
      <w:r w:rsidR="00242678">
        <w:rPr>
          <w:b/>
          <w:bCs/>
          <w:color w:val="000066"/>
          <w:sz w:val="22"/>
          <w:szCs w:val="22"/>
        </w:rPr>
        <w:t>2</w:t>
      </w:r>
      <w:r>
        <w:rPr>
          <w:b/>
          <w:bCs/>
          <w:color w:val="000066"/>
          <w:sz w:val="22"/>
          <w:szCs w:val="22"/>
        </w:rPr>
        <w:t xml:space="preserve"> MIS EN PLACE PAR L’ASSURANCE MALADIE</w:t>
      </w:r>
    </w:p>
    <w:p w:rsidR="00826BA3" w:rsidRPr="00826BA3" w:rsidRDefault="00826BA3" w:rsidP="00826BA3">
      <w:pPr>
        <w:pStyle w:val="Default"/>
        <w:spacing w:line="264" w:lineRule="auto"/>
        <w:jc w:val="center"/>
        <w:rPr>
          <w:b/>
          <w:bCs/>
          <w:color w:val="000066"/>
          <w:sz w:val="22"/>
          <w:szCs w:val="22"/>
        </w:rPr>
      </w:pPr>
    </w:p>
    <w:p w:rsidR="00DA3292" w:rsidRDefault="00DA3292" w:rsidP="0022454D">
      <w:pPr>
        <w:pStyle w:val="Default"/>
        <w:rPr>
          <w:bCs/>
          <w:color w:val="auto"/>
          <w:sz w:val="22"/>
          <w:szCs w:val="22"/>
        </w:rPr>
      </w:pPr>
    </w:p>
    <w:p w:rsidR="00242678" w:rsidRDefault="000150E2" w:rsidP="00746A39">
      <w:pPr>
        <w:pStyle w:val="Default"/>
        <w:jc w:val="both"/>
        <w:rPr>
          <w:bCs/>
          <w:color w:val="auto"/>
          <w:sz w:val="22"/>
          <w:szCs w:val="22"/>
        </w:rPr>
      </w:pPr>
      <w:r>
        <w:rPr>
          <w:bCs/>
          <w:color w:val="auto"/>
          <w:sz w:val="22"/>
          <w:szCs w:val="22"/>
        </w:rPr>
        <w:t>Le</w:t>
      </w:r>
      <w:r w:rsidR="00242678">
        <w:rPr>
          <w:bCs/>
          <w:color w:val="auto"/>
          <w:sz w:val="22"/>
          <w:szCs w:val="22"/>
        </w:rPr>
        <w:t xml:space="preserve"> présent cahier des charges concerne la thématique « Santé Sexuelle ».</w:t>
      </w:r>
    </w:p>
    <w:p w:rsidR="008B5E4E" w:rsidRDefault="00242678" w:rsidP="00746A39">
      <w:pPr>
        <w:pStyle w:val="Default"/>
        <w:jc w:val="both"/>
        <w:rPr>
          <w:bCs/>
          <w:color w:val="auto"/>
          <w:sz w:val="22"/>
          <w:szCs w:val="22"/>
        </w:rPr>
      </w:pPr>
      <w:r>
        <w:rPr>
          <w:bCs/>
          <w:color w:val="auto"/>
          <w:sz w:val="22"/>
          <w:szCs w:val="22"/>
        </w:rPr>
        <w:t>Les projets présentant les caractéristiques ci-dessous pourront être proposés dans le cadre de l’appel à projets FNPEIS 2022</w:t>
      </w:r>
      <w:r w:rsidR="00E46CE4">
        <w:rPr>
          <w:bCs/>
          <w:color w:val="auto"/>
          <w:sz w:val="22"/>
          <w:szCs w:val="22"/>
        </w:rPr>
        <w:t>.</w:t>
      </w:r>
      <w:r>
        <w:rPr>
          <w:bCs/>
          <w:color w:val="auto"/>
          <w:sz w:val="22"/>
          <w:szCs w:val="22"/>
        </w:rPr>
        <w:t xml:space="preserve"> </w:t>
      </w:r>
    </w:p>
    <w:p w:rsidR="00242678" w:rsidRDefault="00242678" w:rsidP="00746A39">
      <w:pPr>
        <w:pStyle w:val="Default"/>
        <w:jc w:val="both"/>
        <w:rPr>
          <w:bCs/>
          <w:color w:val="auto"/>
          <w:sz w:val="22"/>
          <w:szCs w:val="22"/>
        </w:rPr>
      </w:pPr>
    </w:p>
    <w:p w:rsidR="008B5E4E" w:rsidRDefault="00242678" w:rsidP="00746A39">
      <w:pPr>
        <w:spacing w:after="60"/>
        <w:jc w:val="both"/>
        <w:rPr>
          <w:b/>
        </w:rPr>
      </w:pPr>
      <w:r>
        <w:rPr>
          <w:b/>
        </w:rPr>
        <w:t>Ce</w:t>
      </w:r>
      <w:r w:rsidR="008B5E4E" w:rsidRPr="009D0855">
        <w:rPr>
          <w:b/>
        </w:rPr>
        <w:t xml:space="preserve"> cahier des charges</w:t>
      </w:r>
      <w:r w:rsidR="00562FE0">
        <w:rPr>
          <w:b/>
        </w:rPr>
        <w:t> </w:t>
      </w:r>
      <w:r w:rsidR="008B5E4E" w:rsidRPr="009D0855">
        <w:rPr>
          <w:b/>
        </w:rPr>
        <w:t xml:space="preserve"> </w:t>
      </w:r>
      <w:r w:rsidR="00562FE0">
        <w:rPr>
          <w:b/>
        </w:rPr>
        <w:t>« </w:t>
      </w:r>
      <w:r w:rsidR="008B5E4E" w:rsidRPr="009D0855">
        <w:rPr>
          <w:b/>
        </w:rPr>
        <w:t>santé sexuelle</w:t>
      </w:r>
      <w:r w:rsidR="00562FE0">
        <w:rPr>
          <w:b/>
        </w:rPr>
        <w:t> »</w:t>
      </w:r>
      <w:r w:rsidR="008B5E4E" w:rsidRPr="009D0855">
        <w:rPr>
          <w:b/>
        </w:rPr>
        <w:t xml:space="preserve"> est</w:t>
      </w:r>
      <w:r w:rsidR="00562FE0">
        <w:rPr>
          <w:b/>
        </w:rPr>
        <w:t xml:space="preserve"> dédié</w:t>
      </w:r>
      <w:r w:rsidR="008B5E4E" w:rsidRPr="009D0855">
        <w:rPr>
          <w:b/>
        </w:rPr>
        <w:t xml:space="preserve"> </w:t>
      </w:r>
      <w:r w:rsidR="00FA53F1">
        <w:rPr>
          <w:b/>
        </w:rPr>
        <w:t xml:space="preserve">uniquement </w:t>
      </w:r>
      <w:r w:rsidR="008B5E4E" w:rsidRPr="009D0855">
        <w:rPr>
          <w:b/>
        </w:rPr>
        <w:t>au relai des programmes nationaux tels que définis ci –après.</w:t>
      </w:r>
    </w:p>
    <w:p w:rsidR="00FD22CE" w:rsidRDefault="00FD22CE" w:rsidP="00746A39">
      <w:pPr>
        <w:pStyle w:val="Default"/>
        <w:jc w:val="both"/>
        <w:rPr>
          <w:bCs/>
          <w:color w:val="auto"/>
          <w:sz w:val="22"/>
          <w:szCs w:val="22"/>
        </w:rPr>
      </w:pPr>
    </w:p>
    <w:p w:rsidR="007D5EA1" w:rsidRDefault="00A83ECB" w:rsidP="00746A39">
      <w:pPr>
        <w:spacing w:after="60"/>
        <w:jc w:val="both"/>
        <w:rPr>
          <w:b/>
          <w:bCs/>
        </w:rPr>
      </w:pPr>
      <w:r w:rsidRPr="005C47B4">
        <w:rPr>
          <w:b/>
          <w:bCs/>
        </w:rPr>
        <w:t xml:space="preserve">Les actions présentées </w:t>
      </w:r>
      <w:r w:rsidR="0057540A">
        <w:rPr>
          <w:b/>
          <w:bCs/>
        </w:rPr>
        <w:t xml:space="preserve">doivent </w:t>
      </w:r>
      <w:r w:rsidR="00C72C51">
        <w:rPr>
          <w:b/>
          <w:bCs/>
        </w:rPr>
        <w:t xml:space="preserve">s’adresser à des publics socialement défavorisés et </w:t>
      </w:r>
      <w:r>
        <w:rPr>
          <w:b/>
          <w:bCs/>
        </w:rPr>
        <w:t>s’</w:t>
      </w:r>
      <w:r w:rsidR="00D55287">
        <w:rPr>
          <w:b/>
          <w:bCs/>
        </w:rPr>
        <w:t xml:space="preserve">inscrire en relai </w:t>
      </w:r>
      <w:r w:rsidR="0057540A">
        <w:rPr>
          <w:b/>
          <w:bCs/>
        </w:rPr>
        <w:t xml:space="preserve">et en renforcement </w:t>
      </w:r>
      <w:r w:rsidR="00D55287">
        <w:rPr>
          <w:b/>
          <w:bCs/>
        </w:rPr>
        <w:t xml:space="preserve">des messages portés </w:t>
      </w:r>
      <w:r w:rsidR="0057540A">
        <w:rPr>
          <w:b/>
          <w:bCs/>
        </w:rPr>
        <w:t>par</w:t>
      </w:r>
      <w:r w:rsidR="00D55287">
        <w:rPr>
          <w:b/>
          <w:bCs/>
        </w:rPr>
        <w:t xml:space="preserve"> les </w:t>
      </w:r>
      <w:r w:rsidR="00A576D8">
        <w:rPr>
          <w:b/>
          <w:bCs/>
        </w:rPr>
        <w:t xml:space="preserve">programmes nationaux </w:t>
      </w:r>
      <w:r>
        <w:rPr>
          <w:b/>
          <w:bCs/>
        </w:rPr>
        <w:t>de l’Assurance Maladie :</w:t>
      </w:r>
    </w:p>
    <w:p w:rsidR="00A83ECB" w:rsidRPr="00D32864" w:rsidRDefault="00D55287" w:rsidP="00A576D8">
      <w:pPr>
        <w:pStyle w:val="Paragraphedeliste"/>
        <w:numPr>
          <w:ilvl w:val="0"/>
          <w:numId w:val="63"/>
        </w:numPr>
        <w:spacing w:after="60"/>
        <w:jc w:val="both"/>
        <w:rPr>
          <w:b/>
          <w:bCs/>
        </w:rPr>
      </w:pPr>
      <w:r w:rsidRPr="00D32864">
        <w:rPr>
          <w:b/>
          <w:bCs/>
        </w:rPr>
        <w:t>P</w:t>
      </w:r>
      <w:r w:rsidR="0057540A" w:rsidRPr="00D32864">
        <w:rPr>
          <w:b/>
          <w:bCs/>
        </w:rPr>
        <w:t xml:space="preserve">rogramme contraception </w:t>
      </w:r>
      <w:r w:rsidR="00E46CE4" w:rsidRPr="00D32864">
        <w:rPr>
          <w:b/>
          <w:bCs/>
        </w:rPr>
        <w:t>pour les assurés</w:t>
      </w:r>
      <w:r w:rsidR="006D4D59" w:rsidRPr="00D32864">
        <w:rPr>
          <w:b/>
          <w:bCs/>
        </w:rPr>
        <w:t xml:space="preserve"> de moins de 2</w:t>
      </w:r>
      <w:r w:rsidR="00E46CE4" w:rsidRPr="00D32864">
        <w:rPr>
          <w:b/>
          <w:bCs/>
        </w:rPr>
        <w:t>6</w:t>
      </w:r>
      <w:r w:rsidR="006D4D59" w:rsidRPr="00D32864">
        <w:rPr>
          <w:b/>
          <w:bCs/>
        </w:rPr>
        <w:t xml:space="preserve"> ans</w:t>
      </w:r>
      <w:r w:rsidRPr="00D32864">
        <w:rPr>
          <w:b/>
          <w:bCs/>
        </w:rPr>
        <w:t> :</w:t>
      </w:r>
      <w:r w:rsidR="0057540A" w:rsidRPr="00D32864">
        <w:rPr>
          <w:b/>
          <w:bCs/>
        </w:rPr>
        <w:t xml:space="preserve"> les </w:t>
      </w:r>
      <w:r w:rsidR="006139CB" w:rsidRPr="00D32864">
        <w:rPr>
          <w:b/>
          <w:bCs/>
        </w:rPr>
        <w:t>actions s’attacheront à promouvoir</w:t>
      </w:r>
      <w:r w:rsidR="0057540A" w:rsidRPr="00D32864">
        <w:rPr>
          <w:b/>
          <w:bCs/>
        </w:rPr>
        <w:t xml:space="preserve"> </w:t>
      </w:r>
      <w:r w:rsidR="00A576D8" w:rsidRPr="00A576D8">
        <w:rPr>
          <w:b/>
          <w:bCs/>
        </w:rPr>
        <w:t>le libre choix des femmes d’avoir recours à la méthode de contraception la plus adaptée à leurs besoins pour prévenir des grossesses non désirées</w:t>
      </w:r>
      <w:r w:rsidR="006139CB" w:rsidRPr="00D32864">
        <w:rPr>
          <w:b/>
          <w:bCs/>
        </w:rPr>
        <w:t>,</w:t>
      </w:r>
      <w:r w:rsidRPr="00D32864">
        <w:rPr>
          <w:b/>
          <w:bCs/>
        </w:rPr>
        <w:t xml:space="preserve"> par l’éducation à la sexualité, l’information sur les dispositifs de contraception, </w:t>
      </w:r>
      <w:r w:rsidR="006139CB" w:rsidRPr="00D32864">
        <w:rPr>
          <w:b/>
          <w:bCs/>
        </w:rPr>
        <w:t xml:space="preserve">et </w:t>
      </w:r>
      <w:r w:rsidRPr="00D32864">
        <w:rPr>
          <w:b/>
          <w:bCs/>
        </w:rPr>
        <w:t>l’information sur la réduction des risques</w:t>
      </w:r>
      <w:r w:rsidR="00216288" w:rsidRPr="00D32864">
        <w:rPr>
          <w:b/>
          <w:bCs/>
        </w:rPr>
        <w:t xml:space="preserve"> liés</w:t>
      </w:r>
      <w:r w:rsidRPr="00D32864">
        <w:rPr>
          <w:b/>
          <w:bCs/>
        </w:rPr>
        <w:t xml:space="preserve"> aux hépatites et IST.</w:t>
      </w:r>
      <w:r w:rsidR="00626E1B" w:rsidRPr="00D32864">
        <w:rPr>
          <w:b/>
          <w:bCs/>
        </w:rPr>
        <w:t xml:space="preserve"> </w:t>
      </w:r>
      <w:r w:rsidR="006139CB" w:rsidRPr="00D32864">
        <w:rPr>
          <w:b/>
          <w:bCs/>
        </w:rPr>
        <w:t>Elles</w:t>
      </w:r>
      <w:r w:rsidR="0099585E" w:rsidRPr="00D32864">
        <w:rPr>
          <w:b/>
          <w:bCs/>
        </w:rPr>
        <w:t xml:space="preserve"> </w:t>
      </w:r>
      <w:r w:rsidR="0099585E" w:rsidRPr="00D32864">
        <w:rPr>
          <w:rFonts w:cs="Calibri"/>
          <w:b/>
        </w:rPr>
        <w:t xml:space="preserve">devront plus particulièrement permettre de contribuer à la réduction des Inégalités Sociales de Santé et cibler </w:t>
      </w:r>
      <w:r w:rsidR="00C72C51" w:rsidRPr="00D32864">
        <w:rPr>
          <w:rFonts w:cs="Calibri"/>
          <w:b/>
        </w:rPr>
        <w:t>l</w:t>
      </w:r>
      <w:r w:rsidR="0099585E" w:rsidRPr="00D32864">
        <w:rPr>
          <w:rFonts w:cs="Calibri"/>
          <w:b/>
        </w:rPr>
        <w:t>es publics prioritaires.</w:t>
      </w:r>
    </w:p>
    <w:p w:rsidR="00A83ECB" w:rsidRPr="00D32864" w:rsidRDefault="00D55287" w:rsidP="00746A39">
      <w:pPr>
        <w:pStyle w:val="Paragraphedeliste"/>
        <w:numPr>
          <w:ilvl w:val="0"/>
          <w:numId w:val="63"/>
        </w:numPr>
        <w:spacing w:after="60"/>
        <w:jc w:val="both"/>
        <w:rPr>
          <w:b/>
          <w:bCs/>
        </w:rPr>
      </w:pPr>
      <w:r w:rsidRPr="00D32864">
        <w:rPr>
          <w:b/>
          <w:bCs/>
        </w:rPr>
        <w:t>P</w:t>
      </w:r>
      <w:r w:rsidR="0057540A" w:rsidRPr="00D32864">
        <w:rPr>
          <w:b/>
          <w:bCs/>
        </w:rPr>
        <w:t>rogramme Dépistage communautaire par TROD VIH-VHC-VHB : les actions s’adresse</w:t>
      </w:r>
      <w:r w:rsidR="006139CB" w:rsidRPr="00D32864">
        <w:rPr>
          <w:b/>
          <w:bCs/>
        </w:rPr>
        <w:t>ro</w:t>
      </w:r>
      <w:r w:rsidR="0057540A" w:rsidRPr="00D32864">
        <w:rPr>
          <w:b/>
          <w:bCs/>
        </w:rPr>
        <w:t>nt aux</w:t>
      </w:r>
      <w:r w:rsidRPr="00D32864">
        <w:rPr>
          <w:b/>
          <w:bCs/>
        </w:rPr>
        <w:t xml:space="preserve"> populations définies comme étant à risques</w:t>
      </w:r>
      <w:r w:rsidR="00D33B6D" w:rsidRPr="00D32864">
        <w:rPr>
          <w:b/>
          <w:bCs/>
        </w:rPr>
        <w:t xml:space="preserve"> et socialement défavorisées</w:t>
      </w:r>
      <w:r w:rsidRPr="00D32864">
        <w:rPr>
          <w:b/>
          <w:bCs/>
        </w:rPr>
        <w:t> </w:t>
      </w:r>
      <w:r w:rsidR="0057540A" w:rsidRPr="00D32864">
        <w:rPr>
          <w:b/>
          <w:bCs/>
        </w:rPr>
        <w:t>et informe</w:t>
      </w:r>
      <w:r w:rsidR="006139CB" w:rsidRPr="00D32864">
        <w:rPr>
          <w:b/>
          <w:bCs/>
        </w:rPr>
        <w:t>ro</w:t>
      </w:r>
      <w:r w:rsidR="0057540A" w:rsidRPr="00D32864">
        <w:rPr>
          <w:b/>
          <w:bCs/>
        </w:rPr>
        <w:t>nt sur la</w:t>
      </w:r>
      <w:r w:rsidRPr="00D32864">
        <w:rPr>
          <w:b/>
          <w:bCs/>
        </w:rPr>
        <w:t xml:space="preserve"> </w:t>
      </w:r>
      <w:r w:rsidR="00300065" w:rsidRPr="00D32864">
        <w:rPr>
          <w:b/>
          <w:bCs/>
        </w:rPr>
        <w:t>r</w:t>
      </w:r>
      <w:r w:rsidRPr="00D32864">
        <w:rPr>
          <w:b/>
          <w:bCs/>
        </w:rPr>
        <w:t>éduction des infections au VIH</w:t>
      </w:r>
      <w:r w:rsidR="00AF2AEF" w:rsidRPr="00D32864">
        <w:rPr>
          <w:b/>
          <w:bCs/>
        </w:rPr>
        <w:t>,</w:t>
      </w:r>
      <w:r w:rsidRPr="00D32864">
        <w:rPr>
          <w:b/>
          <w:bCs/>
        </w:rPr>
        <w:t xml:space="preserve"> VHC</w:t>
      </w:r>
      <w:r w:rsidR="00AF2AEF" w:rsidRPr="00D32864">
        <w:rPr>
          <w:b/>
          <w:bCs/>
        </w:rPr>
        <w:t xml:space="preserve"> et VHB</w:t>
      </w:r>
      <w:r w:rsidRPr="00D32864">
        <w:rPr>
          <w:b/>
          <w:bCs/>
        </w:rPr>
        <w:t xml:space="preserve"> par la promotion du dispositif de dépistage communautaire par TROD V</w:t>
      </w:r>
      <w:r w:rsidR="00A83ECB" w:rsidRPr="00D32864">
        <w:rPr>
          <w:b/>
          <w:bCs/>
        </w:rPr>
        <w:t>IH-VHC</w:t>
      </w:r>
      <w:r w:rsidR="0057540A" w:rsidRPr="00D32864">
        <w:rPr>
          <w:b/>
          <w:bCs/>
        </w:rPr>
        <w:t>-VHB</w:t>
      </w:r>
      <w:r w:rsidRPr="00D32864">
        <w:rPr>
          <w:b/>
          <w:bCs/>
        </w:rPr>
        <w:t>.</w:t>
      </w:r>
    </w:p>
    <w:p w:rsidR="009D0855" w:rsidRDefault="009D0855" w:rsidP="00746A39">
      <w:pPr>
        <w:spacing w:after="60"/>
        <w:jc w:val="both"/>
        <w:rPr>
          <w:b/>
        </w:rPr>
      </w:pPr>
    </w:p>
    <w:p w:rsidR="001E1694" w:rsidRDefault="001E1694" w:rsidP="00746A39">
      <w:pPr>
        <w:spacing w:after="60"/>
        <w:jc w:val="both"/>
        <w:rPr>
          <w:b/>
        </w:rPr>
      </w:pPr>
    </w:p>
    <w:p w:rsidR="006E5DE8" w:rsidRPr="00520D2B" w:rsidRDefault="006E5DE8" w:rsidP="001E1694">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ind w:left="426" w:hanging="436"/>
        <w:rPr>
          <w:rFonts w:asciiTheme="minorHAnsi" w:hAnsiTheme="minorHAnsi"/>
          <w:i w:val="0"/>
          <w:color w:val="1F497D" w:themeColor="text2"/>
          <w:sz w:val="24"/>
        </w:rPr>
      </w:pPr>
      <w:bookmarkStart w:id="0"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0"/>
      <w:r w:rsidR="0054519B">
        <w:rPr>
          <w:rFonts w:asciiTheme="minorHAnsi" w:hAnsiTheme="minorHAnsi"/>
          <w:i w:val="0"/>
          <w:color w:val="1F497D" w:themeColor="text2"/>
          <w:sz w:val="24"/>
        </w:rPr>
        <w:t xml:space="preserve"> DU PROGRAMME </w:t>
      </w:r>
      <w:r w:rsidR="004651AB">
        <w:rPr>
          <w:rFonts w:asciiTheme="minorHAnsi" w:hAnsiTheme="minorHAnsi"/>
          <w:i w:val="0"/>
          <w:color w:val="1F497D" w:themeColor="text2"/>
          <w:sz w:val="24"/>
        </w:rPr>
        <w:t xml:space="preserve">NATIONAL </w:t>
      </w:r>
      <w:r w:rsidR="0054519B">
        <w:rPr>
          <w:rFonts w:asciiTheme="minorHAnsi" w:hAnsiTheme="minorHAnsi"/>
          <w:i w:val="0"/>
          <w:color w:val="1F497D" w:themeColor="text2"/>
          <w:sz w:val="24"/>
        </w:rPr>
        <w:t>SANTE SEXUELLE</w:t>
      </w:r>
    </w:p>
    <w:p w:rsidR="008D4852" w:rsidRDefault="008D4852"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1"/>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0071498F">
        <w:rPr>
          <w:rFonts w:asciiTheme="minorHAnsi" w:eastAsia="Times New Roman" w:hAnsiTheme="minorHAnsi" w:cs="Calibri"/>
          <w:color w:val="000000" w:themeColor="text1"/>
        </w:rPr>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2"/>
      </w:r>
      <w:r w:rsidRPr="008D4852">
        <w:rPr>
          <w:rFonts w:asciiTheme="minorHAnsi" w:eastAsia="Times New Roman" w:hAnsiTheme="minorHAnsi" w:cs="Calibri"/>
          <w:color w:val="000000" w:themeColor="text1"/>
        </w:rPr>
        <w:t>.</w:t>
      </w:r>
    </w:p>
    <w:p w:rsidR="008D4852" w:rsidRDefault="008D4852" w:rsidP="00746A39">
      <w:pPr>
        <w:spacing w:after="0" w:line="240" w:lineRule="auto"/>
        <w:jc w:val="both"/>
        <w:rPr>
          <w:rFonts w:asciiTheme="minorHAnsi" w:eastAsia="Times New Roman" w:hAnsiTheme="minorHAnsi" w:cs="Calibri"/>
          <w:color w:val="000000" w:themeColor="text1"/>
        </w:rPr>
      </w:pPr>
    </w:p>
    <w:p w:rsidR="00A21B04" w:rsidRPr="00526B1D" w:rsidRDefault="00A21B04" w:rsidP="00746A39">
      <w:pPr>
        <w:spacing w:after="0" w:line="240" w:lineRule="auto"/>
        <w:jc w:val="both"/>
        <w:rPr>
          <w:rFonts w:asciiTheme="minorHAnsi" w:eastAsia="Times New Roman" w:hAnsiTheme="minorHAnsi" w:cs="Calibri"/>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w:t>
      </w:r>
      <w:r w:rsidRPr="00526B1D">
        <w:rPr>
          <w:rFonts w:asciiTheme="minorHAnsi" w:eastAsia="Times New Roman" w:hAnsiTheme="minorHAnsi" w:cs="Calibri"/>
        </w:rPr>
        <w:t>Le taux de recours à l’interruption volontaire de grossesse (IVG) est l</w:t>
      </w:r>
      <w:r w:rsidR="001520F8" w:rsidRPr="00526B1D">
        <w:rPr>
          <w:rFonts w:asciiTheme="minorHAnsi" w:eastAsia="Times New Roman" w:hAnsiTheme="minorHAnsi" w:cs="Calibri"/>
        </w:rPr>
        <w:t>e</w:t>
      </w:r>
      <w:r w:rsidRPr="00526B1D">
        <w:rPr>
          <w:rFonts w:asciiTheme="minorHAnsi" w:eastAsia="Times New Roman" w:hAnsiTheme="minorHAnsi" w:cs="Calibri"/>
        </w:rPr>
        <w:t xml:space="preserve"> plus élevé dans la tranche d’âge 20-24 ans avec un taux de recours de 26 pour </w:t>
      </w:r>
      <w:r w:rsidRPr="00526B1D">
        <w:rPr>
          <w:rFonts w:asciiTheme="minorHAnsi" w:eastAsia="Times New Roman" w:hAnsiTheme="minorHAnsi" w:cs="Calibri"/>
        </w:rPr>
        <w:lastRenderedPageBreak/>
        <w:t>mille (contre 17,8 pour mille femmes de 18-19 ans, 6,7 pour mille femmes de 15-17 ans et 14,4 pour mille femmes entre 15 et 49 ans)</w:t>
      </w:r>
      <w:r w:rsidR="00C425D3" w:rsidRPr="00526B1D">
        <w:rPr>
          <w:rStyle w:val="Appelnotedebasdep"/>
          <w:rFonts w:asciiTheme="minorHAnsi" w:eastAsia="Times New Roman" w:hAnsiTheme="minorHAnsi" w:cs="Calibri"/>
        </w:rPr>
        <w:footnoteReference w:id="3"/>
      </w:r>
      <w:r w:rsidRPr="00526B1D">
        <w:rPr>
          <w:rFonts w:asciiTheme="minorHAnsi" w:eastAsia="Times New Roman" w:hAnsiTheme="minorHAnsi" w:cs="Calibri"/>
        </w:rPr>
        <w:t xml:space="preserve">. </w:t>
      </w:r>
    </w:p>
    <w:p w:rsidR="00A21B04" w:rsidRPr="00526B1D" w:rsidRDefault="00A21B04" w:rsidP="00A21B04">
      <w:pPr>
        <w:spacing w:after="0" w:line="240" w:lineRule="auto"/>
        <w:jc w:val="both"/>
        <w:rPr>
          <w:rFonts w:asciiTheme="minorHAnsi" w:eastAsia="Times New Roman" w:hAnsiTheme="minorHAnsi" w:cs="Calibri"/>
        </w:rPr>
      </w:pPr>
    </w:p>
    <w:p w:rsidR="00A21B04" w:rsidRPr="002D2B84" w:rsidRDefault="00A21B04" w:rsidP="00E73537">
      <w:pPr>
        <w:spacing w:after="0" w:line="240" w:lineRule="auto"/>
        <w:jc w:val="both"/>
      </w:pPr>
      <w:r w:rsidRPr="002D2B84">
        <w:t>D’après les recommandations 2018 de la HAS</w:t>
      </w:r>
      <w:r w:rsidR="004642A8" w:rsidRPr="00FF5E44">
        <w:rPr>
          <w:rStyle w:val="Appelnotedebasdep"/>
        </w:rPr>
        <w:footnoteReference w:id="4"/>
      </w:r>
      <w:r w:rsidRPr="00FF5E44">
        <w:t>, 276 097 infections à Chlamydiae ont été</w:t>
      </w:r>
      <w:r w:rsidRPr="002D2B84">
        <w:t xml:space="preserve"> diagnostiquées en France en 2016, soit trois fois plus qu’en 2012.</w:t>
      </w:r>
    </w:p>
    <w:p w:rsidR="00A21B04" w:rsidRPr="002D2B84" w:rsidRDefault="00A21B04" w:rsidP="00E73537">
      <w:pPr>
        <w:spacing w:after="0" w:line="240" w:lineRule="auto"/>
        <w:jc w:val="both"/>
      </w:pPr>
      <w:r w:rsidRPr="002D2B84">
        <w:t>Entre 201</w:t>
      </w:r>
      <w:r w:rsidR="004642A8" w:rsidRPr="002D2B84">
        <w:t>2</w:t>
      </w:r>
      <w:r w:rsidRPr="002D2B84">
        <w:t xml:space="preserve"> et 201</w:t>
      </w:r>
      <w:r w:rsidR="004642A8" w:rsidRPr="002D2B84">
        <w:t>4</w:t>
      </w:r>
      <w:r w:rsidRPr="002D2B84">
        <w:t xml:space="preserve">, le nombre d’infections à Chlamydiae déclarées a augmenté de 10 %. </w:t>
      </w:r>
      <w:r w:rsidR="004642A8" w:rsidRPr="002D2B84">
        <w:t>En 2015, la majorité des patients diagnostiqués pour une infection à Chlamydia</w:t>
      </w:r>
      <w:r w:rsidR="001520F8" w:rsidRPr="002D2B84">
        <w:t>e</w:t>
      </w:r>
      <w:r w:rsidR="004642A8" w:rsidRPr="002D2B84">
        <w:t xml:space="preserve"> étaient des femmes (64%). Les classes d’âge les plus concernées étaient</w:t>
      </w:r>
      <w:r w:rsidR="004642A8" w:rsidRPr="00526B1D">
        <w:t xml:space="preserve"> les 15-24 ans chez les femmes (65%) et les 20-29 ans chez les hommes (61%)</w:t>
      </w:r>
      <w:r w:rsidR="004642A8" w:rsidRPr="00526B1D">
        <w:rPr>
          <w:rStyle w:val="Appelnotedebasdep"/>
        </w:rPr>
        <w:footnoteReference w:id="5"/>
      </w:r>
      <w:r w:rsidR="004642A8" w:rsidRPr="00526B1D">
        <w:t xml:space="preserve">. </w:t>
      </w:r>
    </w:p>
    <w:p w:rsidR="00A21B04" w:rsidRPr="002D2B84" w:rsidRDefault="00A21B04" w:rsidP="00E73537">
      <w:pPr>
        <w:spacing w:after="0" w:line="240" w:lineRule="auto"/>
        <w:jc w:val="both"/>
      </w:pPr>
    </w:p>
    <w:p w:rsidR="00A21B04" w:rsidRPr="002D2B84" w:rsidRDefault="00A21B04" w:rsidP="00E73537">
      <w:pPr>
        <w:spacing w:after="0" w:line="240" w:lineRule="auto"/>
        <w:jc w:val="both"/>
      </w:pPr>
      <w:r w:rsidRPr="002D2B84">
        <w:t>Un sondage</w:t>
      </w:r>
      <w:r w:rsidR="00A94D43" w:rsidRPr="002D2B84">
        <w:t xml:space="preserve"> IFOP</w:t>
      </w:r>
      <w:r w:rsidRPr="002D2B84">
        <w:t>, réalisé à l’occasion du Sidaction</w:t>
      </w:r>
      <w:r w:rsidR="00A94D43" w:rsidRPr="002D2B84">
        <w:t xml:space="preserve"> 2019</w:t>
      </w:r>
      <w:r w:rsidRPr="002D2B84">
        <w:rPr>
          <w:vertAlign w:val="superscript"/>
        </w:rPr>
        <w:footnoteReference w:id="6"/>
      </w:r>
      <w:r w:rsidRPr="002D2B84">
        <w:t xml:space="preserve">, fait état d’une dégradation des connaissances des jeunes sur le VIH. </w:t>
      </w:r>
    </w:p>
    <w:p w:rsidR="00A21B04" w:rsidRPr="00A21B04" w:rsidRDefault="00A21B04" w:rsidP="00E73537">
      <w:pPr>
        <w:spacing w:before="60" w:after="0" w:line="240" w:lineRule="auto"/>
        <w:jc w:val="both"/>
      </w:pPr>
      <w:r w:rsidRPr="002D2B84">
        <w:t xml:space="preserve">Près d’un quart d’entre eux (23%) se sentent mal informés sur le VIH. Cette proportion a augmenté de 12 points en 10 ans. Cela peut s’expliquer </w:t>
      </w:r>
      <w:r w:rsidR="00A149C8">
        <w:t xml:space="preserve">peut-être </w:t>
      </w:r>
      <w:r w:rsidRPr="002D2B84">
        <w:t xml:space="preserve">en partie par le fait que 20% d’entre </w:t>
      </w:r>
      <w:r w:rsidRPr="00A21B04">
        <w:t xml:space="preserve">eux déclarent ne pas avoir reçu d’enseignement spécifique au collège ou au lycée, alors qu’en 2018, ils étaient seulement 14%. </w:t>
      </w:r>
    </w:p>
    <w:p w:rsidR="00A21B04" w:rsidRPr="00A21B04" w:rsidRDefault="00A21B04" w:rsidP="00E73537">
      <w:pPr>
        <w:spacing w:after="0" w:line="240" w:lineRule="auto"/>
        <w:jc w:val="both"/>
      </w:pPr>
      <w:r w:rsidRPr="00827CC2">
        <w:t xml:space="preserve">Selon le même sondage, </w:t>
      </w:r>
      <w:r w:rsidRPr="00827CC2">
        <w:rPr>
          <w:b/>
        </w:rPr>
        <w:t>la moitié des 15-17 ans déclarent ne pas avoir utilisé de préservatif</w:t>
      </w:r>
      <w:r w:rsidRPr="00827CC2">
        <w:t xml:space="preserve"> car ils </w:t>
      </w:r>
      <w:r w:rsidRPr="00A21B04">
        <w:t>n’en avaient pas à disposition.</w:t>
      </w:r>
    </w:p>
    <w:p w:rsidR="00A21B04" w:rsidRPr="00A21B04" w:rsidRDefault="00A21B04" w:rsidP="00E73537">
      <w:pPr>
        <w:spacing w:before="60" w:after="0" w:line="240" w:lineRule="auto"/>
        <w:jc w:val="both"/>
      </w:pPr>
      <w:r w:rsidRPr="00A21B04">
        <w:t>En outre, 28% des personnes interrogées pensent que le VIH peut être transmis en ayant des rapports sexuels protégés avec une personne séropositive.</w:t>
      </w:r>
    </w:p>
    <w:p w:rsidR="00A21B04" w:rsidRPr="00A21B04" w:rsidRDefault="00A21B04" w:rsidP="00E73537">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que le VIH se transmet en buvant dans le verre d’une personne séropositive ou par la transpiration et 14% que la pilule contraceptive d’urgence peut empêcher la transmission du virus. Enfin, 19% des étudiants pensent que l’on guérit facilement du SIDA aujourd’hui.</w:t>
      </w:r>
    </w:p>
    <w:p w:rsidR="00A21B04" w:rsidRP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p>
    <w:p w:rsid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 xml:space="preserve">L’étude </w:t>
      </w:r>
      <w:proofErr w:type="spellStart"/>
      <w:r w:rsidRPr="00A21B04">
        <w:rPr>
          <w:rFonts w:asciiTheme="minorHAnsi" w:eastAsia="Times New Roman" w:hAnsiTheme="minorHAnsi" w:cs="Calibri"/>
          <w:color w:val="000000" w:themeColor="text1"/>
          <w:lang w:eastAsia="fr-FR"/>
        </w:rPr>
        <w:t>Opinionway</w:t>
      </w:r>
      <w:proofErr w:type="spellEnd"/>
      <w:r w:rsidR="002629D9">
        <w:rPr>
          <w:rStyle w:val="Appelnotedebasdep"/>
          <w:rFonts w:asciiTheme="minorHAnsi" w:eastAsia="Times New Roman" w:hAnsiTheme="minorHAnsi" w:cs="Calibri"/>
          <w:color w:val="000000" w:themeColor="text1"/>
          <w:lang w:eastAsia="fr-FR"/>
        </w:rPr>
        <w:footnoteReference w:id="7"/>
      </w:r>
      <w:r w:rsidRPr="00A21B04">
        <w:rPr>
          <w:rFonts w:asciiTheme="minorHAnsi" w:eastAsia="Times New Roman" w:hAnsiTheme="minorHAnsi" w:cs="Calibri"/>
          <w:color w:val="000000" w:themeColor="text1"/>
          <w:lang w:eastAsia="fr-FR"/>
        </w:rPr>
        <w:t xml:space="preserve"> pour </w:t>
      </w:r>
      <w:proofErr w:type="spellStart"/>
      <w:r w:rsidRPr="00A21B04">
        <w:rPr>
          <w:rFonts w:asciiTheme="minorHAnsi" w:eastAsia="Times New Roman" w:hAnsiTheme="minorHAnsi" w:cs="Calibri"/>
          <w:color w:val="000000" w:themeColor="text1"/>
          <w:lang w:eastAsia="fr-FR"/>
        </w:rPr>
        <w:t>Heyme</w:t>
      </w:r>
      <w:proofErr w:type="spellEnd"/>
      <w:r w:rsidRPr="00A21B04">
        <w:rPr>
          <w:rFonts w:asciiTheme="minorHAnsi" w:eastAsia="Times New Roman" w:hAnsiTheme="minorHAnsi" w:cs="Calibri"/>
          <w:color w:val="000000" w:themeColor="text1"/>
          <w:lang w:eastAsia="fr-FR"/>
        </w:rPr>
        <w:t xml:space="preserve"> Santé Jeunes parue en juillet 2019 mentionne que 46% des étudiants ayant déjà eu un rapport sexuel se font dépister (VIH/SIDA/IST) en cas de changement de partenaire (dont 20% à chaque fois).</w:t>
      </w:r>
    </w:p>
    <w:p w:rsidR="00E73537" w:rsidRDefault="00E73537" w:rsidP="00E73537">
      <w:pPr>
        <w:spacing w:after="0" w:line="240" w:lineRule="auto"/>
        <w:contextualSpacing/>
        <w:jc w:val="both"/>
        <w:rPr>
          <w:rFonts w:asciiTheme="minorHAnsi" w:eastAsia="Times New Roman" w:hAnsiTheme="minorHAnsi" w:cs="Calibri"/>
          <w:color w:val="000000" w:themeColor="text1"/>
          <w:lang w:eastAsia="fr-FR"/>
        </w:rPr>
      </w:pPr>
    </w:p>
    <w:p w:rsidR="00FB2175" w:rsidRDefault="00FB2175" w:rsidP="00FB2175">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 xml:space="preserve">La Haute autorité de Santé (HAS) entre 2014 et 2017 et le Conseil National du Sida et des hépatites virales chroniques (CNSHVC) en 2019 ont recommandé de mettre en œuvre une nouvelle stratégie </w:t>
      </w:r>
      <w:r w:rsidRPr="00D32864">
        <w:rPr>
          <w:rFonts w:asciiTheme="minorHAnsi" w:eastAsia="Times New Roman" w:hAnsiTheme="minorHAnsi" w:cs="Calibri"/>
          <w:color w:val="000000" w:themeColor="text1"/>
          <w:lang w:eastAsia="fr-FR"/>
        </w:rPr>
        <w:t>de dépistage des infections VIH, VHC et VHB pour compléter le dépistage par sérologie, afin de</w:t>
      </w:r>
      <w:r>
        <w:rPr>
          <w:rFonts w:asciiTheme="minorHAnsi" w:eastAsia="Times New Roman" w:hAnsiTheme="minorHAnsi" w:cs="Calibri"/>
          <w:color w:val="000000" w:themeColor="text1"/>
          <w:lang w:eastAsia="fr-FR"/>
        </w:rPr>
        <w:t xml:space="preserve"> dépister plus précocement les personnes infectées.</w:t>
      </w:r>
    </w:p>
    <w:p w:rsidR="00A21B04" w:rsidRDefault="00A21B04" w:rsidP="00E73537">
      <w:pPr>
        <w:autoSpaceDE w:val="0"/>
        <w:autoSpaceDN w:val="0"/>
        <w:adjustRightInd w:val="0"/>
        <w:spacing w:after="0" w:line="240" w:lineRule="auto"/>
        <w:jc w:val="both"/>
        <w:rPr>
          <w:rFonts w:cs="GillSansMT"/>
          <w:lang w:eastAsia="fr-FR"/>
        </w:rPr>
      </w:pPr>
    </w:p>
    <w:p w:rsidR="00670C64" w:rsidRPr="009D6A6C" w:rsidRDefault="00670C64" w:rsidP="00E73537">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w:t>
      </w:r>
      <w:r w:rsidR="00832047">
        <w:rPr>
          <w:rFonts w:cs="GillSansMT"/>
          <w:lang w:eastAsia="fr-FR"/>
        </w:rPr>
        <w:t xml:space="preserve">et de l’hépatite C </w:t>
      </w:r>
      <w:r w:rsidRPr="009D6A6C">
        <w:rPr>
          <w:rFonts w:cs="GillSansMT"/>
          <w:lang w:eastAsia="fr-FR"/>
        </w:rPr>
        <w:t xml:space="preserve">d’ici 2030. </w:t>
      </w:r>
    </w:p>
    <w:p w:rsidR="00AC1C80" w:rsidRDefault="00AC1C80" w:rsidP="00E73537">
      <w:pPr>
        <w:spacing w:after="0"/>
        <w:jc w:val="both"/>
        <w:rPr>
          <w:b/>
          <w:u w:val="single"/>
        </w:rPr>
      </w:pPr>
    </w:p>
    <w:p w:rsidR="00DF4342" w:rsidRPr="00045811" w:rsidRDefault="00DF4342" w:rsidP="00DF4342">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045811">
        <w:rPr>
          <w:rFonts w:asciiTheme="minorHAnsi" w:hAnsiTheme="minorHAnsi"/>
          <w:i w:val="0"/>
          <w:color w:val="1F497D" w:themeColor="text2"/>
          <w:sz w:val="24"/>
        </w:rPr>
        <w:t>II – STRATEGIE NATIONALE 202</w:t>
      </w:r>
      <w:r w:rsidR="00E46CE4">
        <w:rPr>
          <w:rFonts w:asciiTheme="minorHAnsi" w:hAnsiTheme="minorHAnsi"/>
          <w:i w:val="0"/>
          <w:color w:val="1F497D" w:themeColor="text2"/>
          <w:sz w:val="24"/>
        </w:rPr>
        <w:t>2</w:t>
      </w:r>
    </w:p>
    <w:p w:rsidR="00C32BEB" w:rsidRDefault="00DF4342" w:rsidP="00936195">
      <w:pPr>
        <w:spacing w:after="0"/>
        <w:jc w:val="both"/>
        <w:rPr>
          <w:b/>
        </w:rPr>
      </w:pPr>
      <w:r w:rsidRPr="00BC7B82">
        <w:rPr>
          <w:b/>
        </w:rPr>
        <w:lastRenderedPageBreak/>
        <w:t>Les axes de travail prioritaires développés par l’Assurance Maladie au niveau national sont les suivants :</w:t>
      </w:r>
    </w:p>
    <w:p w:rsidR="00BA7C43" w:rsidRPr="00045811" w:rsidRDefault="00BA7C43" w:rsidP="00F32A39">
      <w:pPr>
        <w:spacing w:after="0"/>
        <w:jc w:val="both"/>
        <w:rPr>
          <w:b/>
        </w:rPr>
      </w:pPr>
    </w:p>
    <w:p w:rsidR="005A4A15" w:rsidRDefault="00DF4342" w:rsidP="000071F2">
      <w:pPr>
        <w:spacing w:after="0"/>
        <w:jc w:val="both"/>
        <w:rPr>
          <w:b/>
          <w:u w:val="single"/>
        </w:rPr>
      </w:pPr>
      <w:r w:rsidRPr="004207AA">
        <w:rPr>
          <w:b/>
          <w:u w:val="single"/>
        </w:rPr>
        <w:t xml:space="preserve">1 </w:t>
      </w:r>
      <w:r w:rsidR="001C7444">
        <w:rPr>
          <w:b/>
          <w:u w:val="single"/>
        </w:rPr>
        <w:t>–</w:t>
      </w:r>
      <w:r w:rsidRPr="004207AA">
        <w:rPr>
          <w:b/>
          <w:u w:val="single"/>
        </w:rPr>
        <w:t xml:space="preserve"> </w:t>
      </w:r>
      <w:r w:rsidR="001C7444">
        <w:rPr>
          <w:b/>
          <w:u w:val="single"/>
        </w:rPr>
        <w:t>Parcours c</w:t>
      </w:r>
      <w:r w:rsidR="005A4A15" w:rsidRPr="004207AA">
        <w:rPr>
          <w:b/>
          <w:u w:val="single"/>
        </w:rPr>
        <w:t xml:space="preserve">ontraception </w:t>
      </w:r>
      <w:r w:rsidR="001C7444">
        <w:rPr>
          <w:b/>
          <w:u w:val="single"/>
        </w:rPr>
        <w:t>pour l</w:t>
      </w:r>
      <w:r w:rsidR="005A4A15" w:rsidRPr="004207AA">
        <w:rPr>
          <w:b/>
          <w:u w:val="single"/>
        </w:rPr>
        <w:t xml:space="preserve">es </w:t>
      </w:r>
      <w:r w:rsidR="00E46CE4" w:rsidRPr="004207AA">
        <w:rPr>
          <w:b/>
          <w:u w:val="single"/>
        </w:rPr>
        <w:t>assurées</w:t>
      </w:r>
      <w:r w:rsidR="006D4D59" w:rsidRPr="004207AA">
        <w:rPr>
          <w:b/>
          <w:u w:val="single"/>
        </w:rPr>
        <w:t xml:space="preserve"> de moins de 2</w:t>
      </w:r>
      <w:r w:rsidR="00E46CE4" w:rsidRPr="004207AA">
        <w:rPr>
          <w:b/>
          <w:u w:val="single"/>
        </w:rPr>
        <w:t>6</w:t>
      </w:r>
      <w:r w:rsidR="006D4D59" w:rsidRPr="004207AA">
        <w:rPr>
          <w:b/>
          <w:u w:val="single"/>
        </w:rPr>
        <w:t xml:space="preserve"> ans</w:t>
      </w:r>
      <w:r w:rsidR="00936195" w:rsidRPr="004207AA">
        <w:rPr>
          <w:b/>
          <w:u w:val="single"/>
        </w:rPr>
        <w:t xml:space="preserve"> et consultation</w:t>
      </w:r>
      <w:r w:rsidR="001C7444">
        <w:rPr>
          <w:b/>
          <w:u w:val="single"/>
        </w:rPr>
        <w:t xml:space="preserve"> de </w:t>
      </w:r>
      <w:r w:rsidR="00C71260">
        <w:rPr>
          <w:b/>
          <w:u w:val="single"/>
        </w:rPr>
        <w:t xml:space="preserve">santé sexuelle, de contraception et de </w:t>
      </w:r>
      <w:r w:rsidR="001C7444">
        <w:rPr>
          <w:b/>
          <w:u w:val="single"/>
        </w:rPr>
        <w:t>prévention</w:t>
      </w:r>
      <w:r w:rsidR="00936195" w:rsidRPr="004207AA">
        <w:rPr>
          <w:b/>
          <w:u w:val="single"/>
        </w:rPr>
        <w:t xml:space="preserve"> </w:t>
      </w:r>
      <w:r w:rsidR="00C71260">
        <w:rPr>
          <w:b/>
          <w:u w:val="single"/>
        </w:rPr>
        <w:t>des maladies sexuellement transmissibles</w:t>
      </w:r>
      <w:r w:rsidR="00936195" w:rsidRPr="004207AA">
        <w:rPr>
          <w:b/>
          <w:u w:val="single"/>
        </w:rPr>
        <w:t xml:space="preserve"> pour </w:t>
      </w:r>
      <w:r w:rsidR="001C7444">
        <w:rPr>
          <w:b/>
          <w:u w:val="single"/>
        </w:rPr>
        <w:t>les</w:t>
      </w:r>
      <w:r w:rsidR="004226F9">
        <w:rPr>
          <w:b/>
          <w:u w:val="single"/>
        </w:rPr>
        <w:t xml:space="preserve"> </w:t>
      </w:r>
      <w:r w:rsidR="001C7444">
        <w:rPr>
          <w:b/>
          <w:u w:val="single"/>
        </w:rPr>
        <w:t xml:space="preserve">jeunes </w:t>
      </w:r>
      <w:r w:rsidR="00A83EA1">
        <w:rPr>
          <w:b/>
          <w:u w:val="single"/>
        </w:rPr>
        <w:t xml:space="preserve">femmes et les jeunes </w:t>
      </w:r>
      <w:r w:rsidR="001C7444">
        <w:rPr>
          <w:b/>
          <w:u w:val="single"/>
        </w:rPr>
        <w:t>hommes</w:t>
      </w:r>
      <w:r w:rsidR="001C7444" w:rsidRPr="004207AA">
        <w:rPr>
          <w:b/>
          <w:u w:val="single"/>
        </w:rPr>
        <w:t xml:space="preserve"> </w:t>
      </w:r>
      <w:r w:rsidR="00936195" w:rsidRPr="004207AA">
        <w:rPr>
          <w:b/>
          <w:u w:val="single"/>
        </w:rPr>
        <w:t>de moins de 26 ans</w:t>
      </w:r>
    </w:p>
    <w:p w:rsidR="00936195" w:rsidRPr="00045811" w:rsidRDefault="00936195" w:rsidP="000071F2">
      <w:pPr>
        <w:spacing w:after="0"/>
        <w:jc w:val="both"/>
        <w:rPr>
          <w:b/>
          <w:u w:val="single"/>
        </w:rPr>
      </w:pPr>
    </w:p>
    <w:p w:rsidR="005A4A15" w:rsidRDefault="005A4A15" w:rsidP="00936195">
      <w:pPr>
        <w:spacing w:after="0" w:line="240" w:lineRule="auto"/>
        <w:jc w:val="both"/>
        <w:rPr>
          <w:rFonts w:cs="Calibri"/>
        </w:rPr>
      </w:pPr>
      <w:r w:rsidRPr="001B2F9C">
        <w:rPr>
          <w:rFonts w:cs="Calibri"/>
        </w:rPr>
        <w:t xml:space="preserve">L’accès à la contraception est un élément majeur pour offrir aux adolescentes </w:t>
      </w:r>
      <w:r w:rsidR="006D4D59">
        <w:rPr>
          <w:rFonts w:cs="Calibri"/>
        </w:rPr>
        <w:t xml:space="preserve">et aux jeunes femmes </w:t>
      </w:r>
      <w:r w:rsidRPr="001B2F9C">
        <w:rPr>
          <w:rFonts w:cs="Calibri"/>
        </w:rPr>
        <w:t>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rsidR="005A4A15" w:rsidRDefault="005A4A15" w:rsidP="00F32A39">
      <w:pPr>
        <w:spacing w:after="0" w:line="240" w:lineRule="auto"/>
        <w:jc w:val="both"/>
        <w:rPr>
          <w:rFonts w:cs="Calibri"/>
        </w:rPr>
      </w:pPr>
      <w:r w:rsidRPr="001B2F9C">
        <w:rPr>
          <w:rFonts w:cs="Calibri"/>
        </w:rPr>
        <w:t xml:space="preserve">De nombreuses études (Rapport </w:t>
      </w:r>
      <w:proofErr w:type="spellStart"/>
      <w:r w:rsidRPr="001B2F9C">
        <w:rPr>
          <w:rFonts w:cs="Calibri"/>
        </w:rPr>
        <w:t>Poletti</w:t>
      </w:r>
      <w:proofErr w:type="spellEnd"/>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rsidR="005A4A15" w:rsidRDefault="005A4A15" w:rsidP="000071F2">
      <w:pPr>
        <w:spacing w:after="0" w:line="288" w:lineRule="auto"/>
        <w:jc w:val="both"/>
        <w:rPr>
          <w:rFonts w:cs="Calibri"/>
        </w:rPr>
      </w:pPr>
    </w:p>
    <w:p w:rsidR="00C45BBF" w:rsidRPr="004207AA" w:rsidRDefault="005A4A15" w:rsidP="00936195">
      <w:pPr>
        <w:spacing w:after="0" w:line="240" w:lineRule="auto"/>
        <w:jc w:val="both"/>
        <w:rPr>
          <w:rFonts w:cs="Calibri"/>
        </w:rPr>
      </w:pPr>
      <w:r w:rsidRPr="004207AA">
        <w:rPr>
          <w:rFonts w:cs="Calibri"/>
        </w:rPr>
        <w:t>C’est pourquoi des mesures réglementaires inscrites au Code de la Santé Publique ont été mises en place</w:t>
      </w:r>
      <w:r w:rsidR="00547B3E" w:rsidRPr="004207AA">
        <w:rPr>
          <w:rFonts w:cs="Calibri"/>
        </w:rPr>
        <w:t xml:space="preserve">. </w:t>
      </w:r>
      <w:r w:rsidR="00081110" w:rsidRPr="004207AA">
        <w:rPr>
          <w:rFonts w:cs="Calibri"/>
        </w:rPr>
        <w:t>Après l</w:t>
      </w:r>
      <w:r w:rsidR="00547B3E" w:rsidRPr="004207AA">
        <w:rPr>
          <w:rFonts w:cs="Calibri"/>
        </w:rPr>
        <w:t xml:space="preserve">’instauration en 2016 de la gratuité et du secret pour les mineures de 15 à 18 ans, </w:t>
      </w:r>
      <w:r w:rsidR="00E54566" w:rsidRPr="004207AA">
        <w:rPr>
          <w:rFonts w:cs="Calibri"/>
        </w:rPr>
        <w:t xml:space="preserve">puis à toutes mes mineures sans condition d’âge en </w:t>
      </w:r>
      <w:r w:rsidR="00740588" w:rsidRPr="004207AA">
        <w:rPr>
          <w:rFonts w:cs="Calibri"/>
        </w:rPr>
        <w:t>en</w:t>
      </w:r>
      <w:r w:rsidR="00547B3E" w:rsidRPr="004207AA">
        <w:rPr>
          <w:rFonts w:cs="Calibri"/>
        </w:rPr>
        <w:t xml:space="preserve"> 2020</w:t>
      </w:r>
      <w:r w:rsidR="00081110" w:rsidRPr="004207AA">
        <w:rPr>
          <w:rStyle w:val="Appelnotedebasdep"/>
          <w:rFonts w:cs="Calibri"/>
        </w:rPr>
        <w:footnoteReference w:id="8"/>
      </w:r>
      <w:r w:rsidR="00E46CE4" w:rsidRPr="004207AA">
        <w:rPr>
          <w:rFonts w:cs="Calibri"/>
        </w:rPr>
        <w:t>, la mesure est</w:t>
      </w:r>
      <w:r w:rsidR="00E54566" w:rsidRPr="004207AA">
        <w:rPr>
          <w:rFonts w:cs="Calibri"/>
        </w:rPr>
        <w:t xml:space="preserve"> étendue </w:t>
      </w:r>
      <w:r w:rsidR="00E07BD4" w:rsidRPr="004207AA">
        <w:rPr>
          <w:rFonts w:cs="Calibri"/>
        </w:rPr>
        <w:t xml:space="preserve">à compter de 2022 </w:t>
      </w:r>
      <w:r w:rsidR="006D4D59" w:rsidRPr="004207AA">
        <w:rPr>
          <w:rFonts w:cs="Calibri"/>
        </w:rPr>
        <w:t>à toutes les jeunes femmes âgées de moins de 2</w:t>
      </w:r>
      <w:r w:rsidR="00E46CE4" w:rsidRPr="004207AA">
        <w:rPr>
          <w:rFonts w:cs="Calibri"/>
        </w:rPr>
        <w:t>6</w:t>
      </w:r>
      <w:r w:rsidR="006D4D59" w:rsidRPr="004207AA">
        <w:rPr>
          <w:rFonts w:cs="Calibri"/>
        </w:rPr>
        <w:t xml:space="preserve"> ans</w:t>
      </w:r>
      <w:r w:rsidR="00E54566" w:rsidRPr="004207AA">
        <w:rPr>
          <w:rFonts w:cs="Calibri"/>
        </w:rPr>
        <w:t xml:space="preserve"> </w:t>
      </w:r>
      <w:r w:rsidR="00C45BBF" w:rsidRPr="004207AA">
        <w:rPr>
          <w:rFonts w:cs="Calibri"/>
        </w:rPr>
        <w:t>pour</w:t>
      </w:r>
      <w:r w:rsidR="00547B3E" w:rsidRPr="004207AA">
        <w:rPr>
          <w:rFonts w:cs="Calibri"/>
        </w:rPr>
        <w:t xml:space="preserve">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la premièr</w:t>
      </w:r>
      <w:r w:rsidR="00081110" w:rsidRPr="004207AA">
        <w:rPr>
          <w:rFonts w:cs="Calibri"/>
        </w:rPr>
        <w:t>e consultation de contraception</w:t>
      </w:r>
      <w:r w:rsidR="0008440C">
        <w:rPr>
          <w:rFonts w:cs="Calibri"/>
        </w:rPr>
        <w:t xml:space="preserve"> (CCP)</w:t>
      </w:r>
      <w:r w:rsidR="00081110" w:rsidRPr="004207AA">
        <w:rPr>
          <w:rFonts w:cs="Calibri"/>
        </w:rPr>
        <w:t>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de suivi réalisée par un médecin ou une sage-femme, au cours de la 1</w:t>
      </w:r>
      <w:r w:rsidRPr="004207AA">
        <w:rPr>
          <w:rFonts w:cs="Calibri"/>
          <w:vertAlign w:val="superscript"/>
        </w:rPr>
        <w:t>ère</w:t>
      </w:r>
      <w:r w:rsidRPr="004207AA">
        <w:rPr>
          <w:rFonts w:cs="Calibri"/>
        </w:rPr>
        <w:t xml:space="preserve"> a</w:t>
      </w:r>
      <w:r w:rsidR="00081110" w:rsidRPr="004207AA">
        <w:rPr>
          <w:rFonts w:cs="Calibri"/>
        </w:rPr>
        <w:t>nnée d’accès à la contraception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annuelle réalisée par un médecin ou une sage-femme, à partir de la 2</w:t>
      </w:r>
      <w:r w:rsidRPr="004207AA">
        <w:rPr>
          <w:rFonts w:cs="Calibri"/>
          <w:vertAlign w:val="superscript"/>
        </w:rPr>
        <w:t>ème</w:t>
      </w:r>
      <w:r w:rsidRPr="004207AA">
        <w:rPr>
          <w:rFonts w:cs="Calibri"/>
        </w:rPr>
        <w:t xml:space="preserve"> année d’accès à la contraception et au cours de laquelle peu</w:t>
      </w:r>
      <w:r w:rsidR="00081110" w:rsidRPr="004207AA">
        <w:rPr>
          <w:rFonts w:cs="Calibri"/>
        </w:rPr>
        <w:t>ven</w:t>
      </w:r>
      <w:r w:rsidRPr="004207AA">
        <w:rPr>
          <w:rFonts w:cs="Calibri"/>
        </w:rPr>
        <w:t>t être prescrit</w:t>
      </w:r>
      <w:r w:rsidR="00081110" w:rsidRPr="004207AA">
        <w:rPr>
          <w:rFonts w:cs="Calibri"/>
        </w:rPr>
        <w:t>s</w:t>
      </w:r>
      <w:r w:rsidRPr="004207AA">
        <w:rPr>
          <w:rFonts w:cs="Calibri"/>
        </w:rPr>
        <w:t xml:space="preserve"> une contraception et/ou un examen de biologie médicale (glycémie à jeun, cholestérol total, triglycérides)</w:t>
      </w:r>
      <w:r w:rsidR="00081110" w:rsidRPr="004207AA">
        <w:rPr>
          <w:rFonts w:cs="Calibri"/>
        </w:rPr>
        <w:t>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contraceptifs remboursables (pilules de 1</w:t>
      </w:r>
      <w:r w:rsidRPr="004207AA">
        <w:rPr>
          <w:rFonts w:cs="Calibri"/>
          <w:vertAlign w:val="superscript"/>
        </w:rPr>
        <w:t>ère</w:t>
      </w:r>
      <w:r w:rsidRPr="004207AA">
        <w:rPr>
          <w:rFonts w:cs="Calibri"/>
        </w:rPr>
        <w:t xml:space="preserve"> ou de 2</w:t>
      </w:r>
      <w:r w:rsidRPr="004207AA">
        <w:rPr>
          <w:rFonts w:cs="Calibri"/>
          <w:vertAlign w:val="superscript"/>
        </w:rPr>
        <w:t>ème</w:t>
      </w:r>
      <w:r w:rsidRPr="004207AA">
        <w:rPr>
          <w:rFonts w:cs="Calibri"/>
        </w:rPr>
        <w:t xml:space="preserve"> génération, implant contraceptif hormonal, stérilet</w:t>
      </w:r>
      <w:r w:rsidR="00E55AAC">
        <w:rPr>
          <w:rFonts w:cs="Calibri"/>
        </w:rPr>
        <w:t>, diaphragme</w:t>
      </w:r>
      <w:r w:rsidR="00CE17B7">
        <w:rPr>
          <w:rFonts w:cs="Calibri"/>
        </w:rPr>
        <w:t>, progestatifs injectables</w:t>
      </w:r>
      <w:r w:rsidRPr="004207AA">
        <w:rPr>
          <w:rFonts w:cs="Calibri"/>
        </w:rPr>
        <w:t>)</w:t>
      </w:r>
      <w:r w:rsidR="00081110" w:rsidRPr="004207AA">
        <w:rPr>
          <w:rFonts w:cs="Calibri"/>
        </w:rPr>
        <w:t> ;</w:t>
      </w:r>
      <w:r w:rsidRPr="004207AA">
        <w:rPr>
          <w:rFonts w:cs="Calibri"/>
        </w:rPr>
        <w:t xml:space="preserve"> </w:t>
      </w:r>
    </w:p>
    <w:p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actes liés à la pose, au changement ou au retra</w:t>
      </w:r>
      <w:r w:rsidR="00081110" w:rsidRPr="004207AA">
        <w:rPr>
          <w:rFonts w:cs="Calibri"/>
        </w:rPr>
        <w:t>it d’un dispositif contraceptif ;</w:t>
      </w:r>
      <w:r w:rsidRPr="004207AA">
        <w:rPr>
          <w:rFonts w:cs="Calibri"/>
        </w:rPr>
        <w:t xml:space="preserve"> </w:t>
      </w:r>
    </w:p>
    <w:p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 xml:space="preserve">certains examens de biologie médicale liés au suivi, une fois par an. </w:t>
      </w:r>
    </w:p>
    <w:p w:rsidR="00936195" w:rsidRPr="004207AA" w:rsidRDefault="00A069EA" w:rsidP="00936195">
      <w:pPr>
        <w:pStyle w:val="Paragraphedeliste"/>
        <w:spacing w:before="60" w:after="0" w:line="240" w:lineRule="auto"/>
        <w:ind w:left="0"/>
        <w:jc w:val="both"/>
        <w:rPr>
          <w:rFonts w:cs="Calibri"/>
        </w:rPr>
      </w:pPr>
      <w:r w:rsidRPr="004207AA">
        <w:rPr>
          <w:rFonts w:cs="Calibri"/>
        </w:rPr>
        <w:t>L’ensemble de ce dispositif constitue un parcours d’accès gratuit à la contraception</w:t>
      </w:r>
      <w:r w:rsidR="0008440C">
        <w:rPr>
          <w:rFonts w:cs="Calibri"/>
        </w:rPr>
        <w:t>.</w:t>
      </w:r>
      <w:r w:rsidRPr="004207AA">
        <w:rPr>
          <w:rFonts w:cs="Calibri"/>
        </w:rPr>
        <w:t xml:space="preserve"> </w:t>
      </w:r>
    </w:p>
    <w:p w:rsidR="002725FB" w:rsidRDefault="002725FB" w:rsidP="00936195">
      <w:pPr>
        <w:spacing w:after="0" w:line="240" w:lineRule="auto"/>
        <w:jc w:val="both"/>
        <w:rPr>
          <w:rFonts w:cs="Calibri"/>
        </w:rPr>
      </w:pPr>
    </w:p>
    <w:p w:rsidR="00936195" w:rsidRDefault="00936195" w:rsidP="00936195">
      <w:pPr>
        <w:spacing w:after="0" w:line="240" w:lineRule="auto"/>
        <w:jc w:val="both"/>
        <w:rPr>
          <w:rFonts w:cs="Calibri"/>
        </w:rPr>
      </w:pPr>
      <w:r w:rsidRPr="004207AA">
        <w:rPr>
          <w:rFonts w:cs="Calibri"/>
        </w:rPr>
        <w:t xml:space="preserve">Les dispositions qui étendent le parcours contraception aux jeunes femmes de moins de 26 ans sont complétées par la </w:t>
      </w:r>
      <w:r w:rsidR="00C71260">
        <w:rPr>
          <w:rFonts w:cs="Calibri"/>
        </w:rPr>
        <w:t xml:space="preserve">première </w:t>
      </w:r>
      <w:r w:rsidRPr="00C71260">
        <w:rPr>
          <w:rFonts w:cs="Calibri"/>
        </w:rPr>
        <w:t xml:space="preserve">consultation </w:t>
      </w:r>
      <w:r w:rsidR="00C71260" w:rsidRPr="00C71260">
        <w:t xml:space="preserve">de santé sexuelle, </w:t>
      </w:r>
      <w:r w:rsidRPr="00C71260">
        <w:rPr>
          <w:rFonts w:cs="Calibri"/>
        </w:rPr>
        <w:t>p</w:t>
      </w:r>
      <w:r w:rsidRPr="004207AA">
        <w:rPr>
          <w:rFonts w:cs="Calibri"/>
        </w:rPr>
        <w:t>our les</w:t>
      </w:r>
      <w:r w:rsidR="002725FB">
        <w:rPr>
          <w:rFonts w:cs="Calibri"/>
        </w:rPr>
        <w:t xml:space="preserve"> jeunes</w:t>
      </w:r>
      <w:r w:rsidRPr="004207AA">
        <w:rPr>
          <w:rFonts w:cs="Calibri"/>
        </w:rPr>
        <w:t xml:space="preserve"> hommes de moins de 26 ans</w:t>
      </w:r>
      <w:r w:rsidR="00A321D0" w:rsidRPr="004207AA">
        <w:rPr>
          <w:rFonts w:cs="Calibri"/>
        </w:rPr>
        <w:t xml:space="preserve"> à compter de 2022</w:t>
      </w:r>
      <w:r w:rsidRPr="004207AA">
        <w:rPr>
          <w:rFonts w:cs="Calibri"/>
        </w:rPr>
        <w:t>.</w:t>
      </w:r>
    </w:p>
    <w:p w:rsidR="00C45BBF" w:rsidRDefault="00C45BBF" w:rsidP="00F32A39">
      <w:pPr>
        <w:spacing w:after="0" w:line="240" w:lineRule="auto"/>
        <w:jc w:val="both"/>
        <w:rPr>
          <w:rFonts w:cs="Calibri"/>
        </w:rPr>
      </w:pPr>
    </w:p>
    <w:p w:rsidR="002725FB" w:rsidRDefault="002725FB" w:rsidP="00F32A39">
      <w:pPr>
        <w:spacing w:after="0" w:line="240" w:lineRule="auto"/>
        <w:jc w:val="both"/>
        <w:rPr>
          <w:rFonts w:cs="Calibri"/>
        </w:rPr>
      </w:pPr>
      <w:r>
        <w:rPr>
          <w:rFonts w:cs="Calibri"/>
        </w:rPr>
        <w:t xml:space="preserve">La notion de secret reste valable pour toutes les personnes mineures, sachant que la confidentialité est déjà assurée pour les personnes majeures de </w:t>
      </w:r>
      <w:r w:rsidR="00A83EA1">
        <w:rPr>
          <w:rFonts w:cs="Calibri"/>
        </w:rPr>
        <w:t>moins de 26 ans par les relevés</w:t>
      </w:r>
      <w:r>
        <w:rPr>
          <w:rFonts w:cs="Calibri"/>
        </w:rPr>
        <w:t xml:space="preserve"> individuels de l’Assurance Maladie.</w:t>
      </w:r>
    </w:p>
    <w:p w:rsidR="00A83EA1" w:rsidRDefault="00A83EA1" w:rsidP="00A83EA1">
      <w:pPr>
        <w:spacing w:after="0" w:line="240" w:lineRule="auto"/>
        <w:jc w:val="both"/>
        <w:rPr>
          <w:rFonts w:cs="Calibri"/>
        </w:rPr>
      </w:pPr>
    </w:p>
    <w:p w:rsidR="00A83EA1" w:rsidRPr="003D45A7" w:rsidRDefault="00A83EA1" w:rsidP="00A83EA1">
      <w:pPr>
        <w:spacing w:after="0" w:line="240" w:lineRule="auto"/>
        <w:jc w:val="both"/>
        <w:rPr>
          <w:rFonts w:cs="Calibri"/>
        </w:rPr>
      </w:pPr>
      <w:r w:rsidRPr="003D45A7">
        <w:rPr>
          <w:rFonts w:cs="Calibri"/>
        </w:rPr>
        <w:t>Par ailleurs, les mineures ont accès gratuitement</w:t>
      </w:r>
      <w:r>
        <w:rPr>
          <w:rFonts w:cs="Calibri"/>
        </w:rPr>
        <w:t>,</w:t>
      </w:r>
      <w:r w:rsidRPr="003D45A7">
        <w:rPr>
          <w:rFonts w:cs="Calibri"/>
        </w:rPr>
        <w:t xml:space="preserve"> et de manière anonyme</w:t>
      </w:r>
      <w:r>
        <w:rPr>
          <w:rFonts w:cs="Calibri"/>
        </w:rPr>
        <w:t>,</w:t>
      </w:r>
      <w:r w:rsidRPr="003D45A7">
        <w:rPr>
          <w:rFonts w:cs="Calibri"/>
        </w:rPr>
        <w:t xml:space="preserve"> à la contraception d’urgence délivrée en officine </w:t>
      </w:r>
      <w:r>
        <w:rPr>
          <w:rFonts w:cs="Calibri"/>
        </w:rPr>
        <w:t>ou par l’infirmière scolaire.</w:t>
      </w:r>
    </w:p>
    <w:p w:rsidR="002725FB" w:rsidRDefault="002725FB" w:rsidP="00F32A39">
      <w:pPr>
        <w:spacing w:after="0" w:line="240" w:lineRule="auto"/>
        <w:jc w:val="both"/>
        <w:rPr>
          <w:rFonts w:cs="Calibri"/>
        </w:rPr>
      </w:pPr>
    </w:p>
    <w:p w:rsidR="00844701" w:rsidRDefault="00844701" w:rsidP="00A321D0">
      <w:pPr>
        <w:spacing w:after="0" w:line="240" w:lineRule="auto"/>
        <w:jc w:val="both"/>
        <w:rPr>
          <w:rFonts w:cs="Calibri"/>
        </w:rPr>
      </w:pPr>
      <w:r w:rsidRPr="001B2F9C">
        <w:rPr>
          <w:rFonts w:cs="Calibri"/>
        </w:rPr>
        <w:lastRenderedPageBreak/>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 xml:space="preserve">limiter les </w:t>
      </w:r>
      <w:r w:rsidR="004226F9">
        <w:rPr>
          <w:rFonts w:cs="Calibri"/>
        </w:rPr>
        <w:t>grossesses non désirées</w:t>
      </w:r>
      <w:r w:rsidR="004226F9" w:rsidRPr="00A215A8">
        <w:rPr>
          <w:rFonts w:cs="Calibri"/>
        </w:rPr>
        <w:t xml:space="preserve"> </w:t>
      </w:r>
      <w:r w:rsidRPr="00A215A8">
        <w:rPr>
          <w:rFonts w:cs="Calibri"/>
        </w:rPr>
        <w:t>en améliorant l’accessibilité</w:t>
      </w:r>
      <w:r w:rsidR="002D2B84">
        <w:rPr>
          <w:rFonts w:cs="Calibri"/>
        </w:rPr>
        <w:t xml:space="preserve"> et</w:t>
      </w:r>
      <w:r w:rsidRPr="00A215A8">
        <w:rPr>
          <w:rFonts w:cs="Calibri"/>
        </w:rPr>
        <w:t xml:space="preserve"> la confidentialité</w:t>
      </w:r>
      <w:r w:rsidR="002D2B84">
        <w:rPr>
          <w:rFonts w:cs="Calibri"/>
        </w:rPr>
        <w:t>,</w:t>
      </w:r>
      <w:r w:rsidRPr="00A215A8">
        <w:rPr>
          <w:rFonts w:cs="Calibri"/>
        </w:rPr>
        <w:t xml:space="preserve"> en supprimant le frein financier</w:t>
      </w:r>
      <w:r w:rsidRPr="0007444E">
        <w:rPr>
          <w:rFonts w:cs="Calibri"/>
        </w:rPr>
        <w:t xml:space="preserve"> </w:t>
      </w:r>
      <w:r w:rsidRPr="003D45A7">
        <w:rPr>
          <w:rFonts w:cs="Calibri"/>
        </w:rPr>
        <w:t>et en garantissant le secret.</w:t>
      </w:r>
    </w:p>
    <w:p w:rsidR="001737FD" w:rsidRDefault="001737FD" w:rsidP="00F32A39">
      <w:pPr>
        <w:spacing w:after="0"/>
        <w:jc w:val="both"/>
        <w:rPr>
          <w:b/>
        </w:rPr>
      </w:pPr>
    </w:p>
    <w:p w:rsidR="008F70E8" w:rsidRDefault="00DF4342" w:rsidP="00AE29A1">
      <w:pPr>
        <w:spacing w:after="0"/>
        <w:jc w:val="both"/>
        <w:rPr>
          <w:b/>
          <w:u w:val="single"/>
        </w:rPr>
      </w:pPr>
      <w:r w:rsidRPr="00BC7B82">
        <w:rPr>
          <w:b/>
          <w:u w:val="single"/>
        </w:rPr>
        <w:t xml:space="preserve">2 - </w:t>
      </w:r>
      <w:r w:rsidR="00C32BEB" w:rsidRPr="00BC7B82">
        <w:rPr>
          <w:b/>
          <w:u w:val="single"/>
        </w:rPr>
        <w:t xml:space="preserve">Prévention du </w:t>
      </w:r>
      <w:r w:rsidR="00D74178" w:rsidRPr="00BC7B82">
        <w:rPr>
          <w:b/>
          <w:u w:val="single"/>
        </w:rPr>
        <w:t>VIH – VHC</w:t>
      </w:r>
      <w:r w:rsidR="00740588">
        <w:rPr>
          <w:b/>
          <w:u w:val="single"/>
        </w:rPr>
        <w:t xml:space="preserve"> -VHB</w:t>
      </w:r>
      <w:r w:rsidR="00D74178" w:rsidRPr="00BC7B82">
        <w:rPr>
          <w:b/>
          <w:u w:val="single"/>
        </w:rPr>
        <w:t xml:space="preserve"> </w:t>
      </w:r>
      <w:r w:rsidR="00C32BEB" w:rsidRPr="00BC7B82">
        <w:rPr>
          <w:b/>
          <w:u w:val="single"/>
        </w:rPr>
        <w:t xml:space="preserve"> </w:t>
      </w:r>
    </w:p>
    <w:p w:rsidR="00AE29A1" w:rsidRPr="00BC7B82" w:rsidRDefault="00AE29A1" w:rsidP="00AE29A1">
      <w:pPr>
        <w:spacing w:after="0"/>
        <w:jc w:val="both"/>
        <w:rPr>
          <w:b/>
          <w:u w:val="single"/>
        </w:rPr>
      </w:pPr>
    </w:p>
    <w:p w:rsidR="00AE29A1" w:rsidRDefault="00F70A11" w:rsidP="00AE29A1">
      <w:pPr>
        <w:spacing w:after="0" w:line="240" w:lineRule="auto"/>
        <w:jc w:val="both"/>
        <w:rPr>
          <w:rFonts w:cs="Arial"/>
          <w:color w:val="000000"/>
          <w:lang w:eastAsia="fr-FR"/>
        </w:rPr>
      </w:pPr>
      <w:r w:rsidRPr="00F70A11">
        <w:rPr>
          <w:rFonts w:cs="Arial"/>
          <w:color w:val="000000"/>
          <w:lang w:eastAsia="fr-FR"/>
        </w:rPr>
        <w:t xml:space="preserve">Le nombre de découvertes de séropositivité </w:t>
      </w:r>
      <w:r w:rsidR="00EB10CB">
        <w:rPr>
          <w:rFonts w:cs="Arial"/>
          <w:color w:val="000000"/>
          <w:lang w:eastAsia="fr-FR"/>
        </w:rPr>
        <w:t xml:space="preserve">au VIH </w:t>
      </w:r>
      <w:r w:rsidRPr="00F70A11">
        <w:rPr>
          <w:rFonts w:cs="Arial"/>
          <w:color w:val="000000"/>
          <w:lang w:eastAsia="fr-FR"/>
        </w:rPr>
        <w:t xml:space="preserve">a été estimé en France en 2017 </w:t>
      </w:r>
      <w:r w:rsidR="00AE29A1">
        <w:rPr>
          <w:rFonts w:cs="Arial"/>
          <w:color w:val="000000"/>
          <w:lang w:eastAsia="fr-FR"/>
        </w:rPr>
        <w:t> entre 6000 et 6500</w:t>
      </w:r>
      <w:r w:rsidRPr="00F70A11">
        <w:rPr>
          <w:rFonts w:cs="Arial"/>
          <w:color w:val="000000"/>
          <w:lang w:eastAsia="fr-FR"/>
        </w:rPr>
        <w:t xml:space="preserve"> personne</w:t>
      </w:r>
      <w:r w:rsidR="00AE29A1">
        <w:rPr>
          <w:rFonts w:cs="Arial"/>
          <w:color w:val="000000"/>
          <w:lang w:eastAsia="fr-FR"/>
        </w:rPr>
        <w:t xml:space="preserve">s par an depuis 2017 </w:t>
      </w:r>
    </w:p>
    <w:p w:rsidR="00F70A11" w:rsidRPr="00F70A11" w:rsidRDefault="00AE29A1" w:rsidP="00AE29A1">
      <w:pPr>
        <w:spacing w:after="0" w:line="240" w:lineRule="auto"/>
        <w:jc w:val="both"/>
        <w:rPr>
          <w:rFonts w:cs="Arial"/>
          <w:color w:val="000000"/>
          <w:lang w:eastAsia="fr-FR"/>
        </w:rPr>
      </w:pPr>
      <w:r>
        <w:rPr>
          <w:rFonts w:cs="Arial"/>
          <w:color w:val="000000"/>
          <w:lang w:eastAsia="fr-FR"/>
        </w:rPr>
        <w:t>En 2016, près de 170 000 personnes vivent avec le VIH</w:t>
      </w:r>
      <w:r w:rsidR="00F70A11" w:rsidRPr="00F70A11">
        <w:rPr>
          <w:rFonts w:cs="Arial"/>
          <w:color w:val="000000"/>
          <w:lang w:eastAsia="fr-FR"/>
        </w:rPr>
        <w:t>.</w:t>
      </w:r>
      <w:r>
        <w:rPr>
          <w:rFonts w:cs="Arial"/>
          <w:color w:val="000000"/>
          <w:lang w:eastAsia="fr-FR"/>
        </w:rPr>
        <w:t xml:space="preserve"> Parmi elles, en 2019-2020, les diagnostics à un stade avancé de l’infection représentent 26% des nouveaux diagnostics et concernent majoritairement les usagers de drogues injectables (UDI), les hétérosexuels et les personnes nées à l’étranger.</w:t>
      </w:r>
    </w:p>
    <w:p w:rsidR="00AE29A1" w:rsidRPr="008F70E8" w:rsidRDefault="00AE29A1" w:rsidP="00AE29A1">
      <w:pPr>
        <w:pStyle w:val="Default"/>
        <w:jc w:val="both"/>
        <w:rPr>
          <w:rFonts w:cs="Arial"/>
          <w:sz w:val="22"/>
          <w:szCs w:val="22"/>
        </w:rPr>
      </w:pP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Concernant le VHC, en 2016 parmi la population générale vivant en France métropolitaine, la prévalence est estimée à 0,30%. L’importance du nombre de personnes non diagnostiquées a été estimée à environ 25.000 personnes et environ 10% des personnes diagnostiquées vivant avec une hépatite C présentent une forme avancée de la maladie.</w:t>
      </w: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Pour le VHB, la prévalence en 2016 est identique à celle du VHC, soit</w:t>
      </w:r>
      <w:r w:rsidR="002725FB">
        <w:rPr>
          <w:rFonts w:asciiTheme="minorHAnsi" w:eastAsia="Times New Roman" w:hAnsiTheme="minorHAnsi" w:cs="Calibri"/>
          <w:color w:val="000000" w:themeColor="text1"/>
          <w:lang w:eastAsia="fr-FR"/>
        </w:rPr>
        <w:t xml:space="preserve"> </w:t>
      </w:r>
      <w:r w:rsidR="008F246D">
        <w:rPr>
          <w:rFonts w:asciiTheme="minorHAnsi" w:eastAsia="Times New Roman" w:hAnsiTheme="minorHAnsi" w:cs="Calibri"/>
          <w:color w:val="000000" w:themeColor="text1"/>
          <w:lang w:eastAsia="fr-FR"/>
        </w:rPr>
        <w:t>0,</w:t>
      </w:r>
      <w:r>
        <w:rPr>
          <w:rFonts w:asciiTheme="minorHAnsi" w:eastAsia="Times New Roman" w:hAnsiTheme="minorHAnsi" w:cs="Calibri"/>
          <w:color w:val="000000" w:themeColor="text1"/>
          <w:lang w:eastAsia="fr-FR"/>
        </w:rPr>
        <w:t>30% de la population générale vivant en France métropolitaine : environ 135 000 personnes ayant une hépatite chronique B et environ 11 000 personnes n’étaient pas diagnostiquées.</w:t>
      </w:r>
    </w:p>
    <w:p w:rsidR="008F70E8" w:rsidRPr="008F70E8" w:rsidRDefault="008F70E8" w:rsidP="00654A11">
      <w:pPr>
        <w:pStyle w:val="Default"/>
        <w:jc w:val="both"/>
        <w:rPr>
          <w:rFonts w:cs="Arial"/>
          <w:b/>
          <w:bCs/>
          <w:color w:val="auto"/>
          <w:sz w:val="22"/>
          <w:szCs w:val="22"/>
        </w:rPr>
      </w:pPr>
    </w:p>
    <w:p w:rsidR="00F3766C" w:rsidRPr="009D6A6C" w:rsidRDefault="00670C64" w:rsidP="00654A11">
      <w:pPr>
        <w:spacing w:after="0" w:line="240" w:lineRule="auto"/>
        <w:jc w:val="both"/>
      </w:pPr>
      <w:r w:rsidRPr="009D6A6C">
        <w:t>Malgré un nombre de tests de dépistage important, de nombreuses personnes porteuses du VIH</w:t>
      </w:r>
      <w:r w:rsidR="00654A11">
        <w:t>,</w:t>
      </w:r>
      <w:r w:rsidRPr="009D6A6C">
        <w:t xml:space="preserve"> VHC</w:t>
      </w:r>
      <w:r w:rsidR="00654A11">
        <w:t xml:space="preserve"> ou VHB</w:t>
      </w:r>
      <w:r w:rsidRPr="009D6A6C">
        <w:t xml:space="preserve"> ne connaissent pas leur statut sérologique et sont dépistées à un stade avancé de l’infection. Or, un diagnostic rapide peut permettre l’instauration précoce d’un traitement antirétroviral réduisant par conséquent la morbidité et la mortalité. Il peut également réduire les taux de transmission directement par une diminution des pratiques à risque, et indirectement par la réduction de l’ineffectivité des personnes traitées. </w:t>
      </w:r>
    </w:p>
    <w:p w:rsidR="00F3766C" w:rsidRPr="00C47595" w:rsidRDefault="00F3766C" w:rsidP="00F32A39">
      <w:pPr>
        <w:spacing w:after="0" w:line="240" w:lineRule="auto"/>
        <w:jc w:val="both"/>
      </w:pPr>
    </w:p>
    <w:p w:rsidR="00AE49BB" w:rsidRPr="00C47595" w:rsidRDefault="00F3766C" w:rsidP="00654A11">
      <w:pPr>
        <w:spacing w:after="0" w:line="240" w:lineRule="auto"/>
        <w:jc w:val="both"/>
      </w:pPr>
      <w:r w:rsidRPr="00C47595">
        <w:t xml:space="preserve">Le dispositif de dépistage communautaire par TROD a été mis en place en septembre 2011 pour les populations éloignées du système de santé. Les </w:t>
      </w:r>
      <w:r w:rsidR="003A1C7E" w:rsidRPr="00C47595">
        <w:t>TROD</w:t>
      </w:r>
      <w:r w:rsidR="00670C64" w:rsidRPr="00C47595">
        <w:t xml:space="preserve"> </w:t>
      </w:r>
      <w:r w:rsidRPr="00C47595">
        <w:t>VIH</w:t>
      </w:r>
      <w:r w:rsidR="00654A11" w:rsidRPr="00C47595">
        <w:t>,</w:t>
      </w:r>
      <w:r w:rsidRPr="00C47595">
        <w:t xml:space="preserve"> VHC </w:t>
      </w:r>
      <w:r w:rsidR="00654A11" w:rsidRPr="00C47595">
        <w:t xml:space="preserve">et VHB </w:t>
      </w:r>
      <w:r w:rsidRPr="00C47595">
        <w:t>constitu</w:t>
      </w:r>
      <w:r w:rsidR="003A1C7E" w:rsidRPr="00C47595">
        <w:t xml:space="preserve">ent </w:t>
      </w:r>
      <w:r w:rsidR="00670C64" w:rsidRPr="00C47595">
        <w:t>une stratégie de dépistage de l’infection complé</w:t>
      </w:r>
      <w:r w:rsidR="003A1C7E" w:rsidRPr="00C47595">
        <w:t xml:space="preserve">mentaire au </w:t>
      </w:r>
      <w:r w:rsidR="00670C64" w:rsidRPr="00C47595">
        <w:t xml:space="preserve">dispositif biologique classique, </w:t>
      </w:r>
      <w:r w:rsidR="003A1C7E" w:rsidRPr="00C47595">
        <w:t>qui permet</w:t>
      </w:r>
      <w:r w:rsidR="00670C64" w:rsidRPr="00C47595">
        <w:t xml:space="preserve"> de dépister plus précocement les personnes infectées</w:t>
      </w:r>
      <w:r w:rsidR="003A1C7E" w:rsidRPr="00C47595">
        <w:t>, et adaptés notamment aux populations les plus éloignées du système de santé</w:t>
      </w:r>
      <w:r w:rsidR="00670C64" w:rsidRPr="00C47595">
        <w:t xml:space="preserve">. </w:t>
      </w:r>
    </w:p>
    <w:p w:rsidR="00670C64" w:rsidRPr="00C47595" w:rsidRDefault="00670C64" w:rsidP="00F32A39">
      <w:pPr>
        <w:spacing w:after="0" w:line="240" w:lineRule="auto"/>
        <w:ind w:right="260"/>
        <w:jc w:val="both"/>
      </w:pPr>
    </w:p>
    <w:p w:rsidR="008F70E8" w:rsidRPr="008F70E8" w:rsidRDefault="008F70E8" w:rsidP="00654A11">
      <w:pPr>
        <w:pStyle w:val="Default"/>
        <w:jc w:val="both"/>
        <w:rPr>
          <w:rFonts w:cs="GillSansMT"/>
          <w:sz w:val="22"/>
          <w:szCs w:val="22"/>
        </w:rPr>
      </w:pPr>
      <w:r w:rsidRPr="008F70E8">
        <w:rPr>
          <w:rFonts w:cs="GillSansMT"/>
          <w:sz w:val="22"/>
          <w:szCs w:val="22"/>
        </w:rPr>
        <w:t xml:space="preserve">Dans le cadre de la COG 2018-2022, l’Assurance Maladie a réaffirmé son engagement au niveau national dans les programmes </w:t>
      </w:r>
      <w:r w:rsidR="00F03E14" w:rsidRPr="008F70E8">
        <w:rPr>
          <w:rFonts w:cs="GillSansMT"/>
          <w:sz w:val="22"/>
          <w:szCs w:val="22"/>
        </w:rPr>
        <w:t xml:space="preserve">de contraception des mineures </w:t>
      </w:r>
      <w:r w:rsidR="00F03E14">
        <w:rPr>
          <w:rFonts w:cs="GillSansMT"/>
          <w:sz w:val="22"/>
          <w:szCs w:val="22"/>
        </w:rPr>
        <w:t xml:space="preserve">et </w:t>
      </w:r>
      <w:r w:rsidRPr="008F70E8">
        <w:rPr>
          <w:rFonts w:cs="GillSansMT"/>
          <w:sz w:val="22"/>
          <w:szCs w:val="22"/>
        </w:rPr>
        <w:t>de lutte cont</w:t>
      </w:r>
      <w:r w:rsidR="00F03E14">
        <w:rPr>
          <w:rFonts w:cs="GillSansMT"/>
          <w:sz w:val="22"/>
          <w:szCs w:val="22"/>
        </w:rPr>
        <w:t>re les infections VIH/Hépatites</w:t>
      </w:r>
      <w:r w:rsidRPr="008F70E8">
        <w:rPr>
          <w:rFonts w:cs="GillSansMT"/>
          <w:sz w:val="22"/>
          <w:szCs w:val="22"/>
        </w:rPr>
        <w:t>.</w:t>
      </w:r>
    </w:p>
    <w:p w:rsidR="008F70E8" w:rsidRDefault="008F70E8" w:rsidP="00F32A39">
      <w:pPr>
        <w:spacing w:after="0" w:line="240" w:lineRule="auto"/>
        <w:ind w:right="260"/>
        <w:jc w:val="both"/>
      </w:pPr>
    </w:p>
    <w:p w:rsidR="004651AB" w:rsidRPr="002725FB"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2725FB">
        <w:rPr>
          <w:rFonts w:asciiTheme="minorHAnsi" w:hAnsiTheme="minorHAnsi"/>
          <w:i w:val="0"/>
          <w:color w:val="002060"/>
          <w:sz w:val="24"/>
        </w:rPr>
        <w:t>II</w:t>
      </w:r>
      <w:r w:rsidR="00DF4342" w:rsidRPr="002725FB">
        <w:rPr>
          <w:rFonts w:asciiTheme="minorHAnsi" w:hAnsiTheme="minorHAnsi"/>
          <w:i w:val="0"/>
          <w:color w:val="002060"/>
          <w:sz w:val="24"/>
        </w:rPr>
        <w:t>I</w:t>
      </w:r>
      <w:r w:rsidRPr="002725FB">
        <w:rPr>
          <w:rFonts w:asciiTheme="minorHAnsi" w:hAnsiTheme="minorHAnsi"/>
          <w:i w:val="0"/>
          <w:color w:val="002060"/>
          <w:sz w:val="24"/>
        </w:rPr>
        <w:t xml:space="preserve"> –</w:t>
      </w:r>
      <w:r w:rsidR="005015A7" w:rsidRPr="002725FB">
        <w:rPr>
          <w:rFonts w:asciiTheme="minorHAnsi" w:hAnsiTheme="minorHAnsi"/>
          <w:i w:val="0"/>
          <w:color w:val="002060"/>
          <w:sz w:val="24"/>
        </w:rPr>
        <w:t xml:space="preserve"> L</w:t>
      </w:r>
      <w:r w:rsidR="004E5D56" w:rsidRPr="002725FB">
        <w:rPr>
          <w:rFonts w:asciiTheme="minorHAnsi" w:hAnsiTheme="minorHAnsi"/>
          <w:i w:val="0"/>
          <w:color w:val="002060"/>
          <w:sz w:val="24"/>
        </w:rPr>
        <w:t>ES ACTIONS</w:t>
      </w:r>
      <w:r w:rsidRPr="002725FB">
        <w:rPr>
          <w:rFonts w:asciiTheme="minorHAnsi" w:hAnsiTheme="minorHAnsi"/>
          <w:i w:val="0"/>
          <w:color w:val="002060"/>
          <w:sz w:val="24"/>
        </w:rPr>
        <w:t xml:space="preserve"> </w:t>
      </w:r>
      <w:r w:rsidR="00BB58AF" w:rsidRPr="002725FB">
        <w:rPr>
          <w:rFonts w:asciiTheme="minorHAnsi" w:hAnsiTheme="minorHAnsi"/>
          <w:i w:val="0"/>
          <w:color w:val="002060"/>
          <w:sz w:val="24"/>
        </w:rPr>
        <w:t xml:space="preserve">A DEVELOPPER SUR LA </w:t>
      </w:r>
      <w:r w:rsidRPr="002725FB">
        <w:rPr>
          <w:rFonts w:asciiTheme="minorHAnsi" w:hAnsiTheme="minorHAnsi"/>
          <w:i w:val="0"/>
          <w:color w:val="002060"/>
          <w:sz w:val="24"/>
        </w:rPr>
        <w:t>SANTE SEXUELLE</w:t>
      </w:r>
    </w:p>
    <w:p w:rsidR="00A83AD8" w:rsidRPr="00312945" w:rsidRDefault="00AA753B" w:rsidP="007D5EA1">
      <w:pPr>
        <w:pStyle w:val="Style1"/>
        <w:spacing w:before="360"/>
        <w:contextualSpacing/>
        <w:rPr>
          <w:sz w:val="24"/>
          <w:szCs w:val="24"/>
        </w:rPr>
      </w:pPr>
      <w:bookmarkStart w:id="1" w:name="_Toc531346564"/>
      <w:r>
        <w:rPr>
          <w:sz w:val="22"/>
          <w:szCs w:val="22"/>
        </w:rPr>
        <w:t>PREalable aux</w:t>
      </w:r>
      <w:r w:rsidR="0054519B" w:rsidRPr="00B5495A">
        <w:rPr>
          <w:sz w:val="22"/>
          <w:szCs w:val="22"/>
        </w:rPr>
        <w:t xml:space="preserve"> ACTIONS A METTRE EN PLACE</w:t>
      </w:r>
      <w:r w:rsidR="00563EA3" w:rsidRPr="00B5495A">
        <w:rPr>
          <w:sz w:val="22"/>
          <w:szCs w:val="22"/>
        </w:rPr>
        <w:t xml:space="preserve"> </w:t>
      </w:r>
      <w:bookmarkEnd w:id="1"/>
      <w:r w:rsidR="0054519B" w:rsidRPr="00B5495A">
        <w:rPr>
          <w:sz w:val="22"/>
          <w:szCs w:val="22"/>
        </w:rPr>
        <w:t>sur la thematique</w:t>
      </w:r>
      <w:r w:rsidR="001F74E9" w:rsidRPr="00B5495A">
        <w:rPr>
          <w:sz w:val="22"/>
          <w:szCs w:val="22"/>
        </w:rPr>
        <w:t xml:space="preserve"> SaNTE SEXUELLE</w:t>
      </w:r>
    </w:p>
    <w:p w:rsidR="00DA1344" w:rsidRDefault="002947FB" w:rsidP="00F34E0A">
      <w:pPr>
        <w:spacing w:after="0"/>
        <w:ind w:right="260"/>
        <w:jc w:val="both"/>
      </w:pPr>
      <w:r>
        <w:t>Les actions</w:t>
      </w:r>
      <w:r w:rsidRPr="002947FB">
        <w:t xml:space="preserve"> </w:t>
      </w:r>
      <w:r w:rsidRPr="009D6A6C">
        <w:t>proposées devront</w:t>
      </w:r>
      <w:r w:rsidR="00DA1344">
        <w:t> :</w:t>
      </w:r>
    </w:p>
    <w:p w:rsidR="00B9092A" w:rsidRDefault="00B9092A" w:rsidP="00F34E0A">
      <w:pPr>
        <w:spacing w:after="0"/>
        <w:ind w:right="260"/>
        <w:jc w:val="both"/>
      </w:pPr>
    </w:p>
    <w:p w:rsidR="002947FB" w:rsidRDefault="002947FB" w:rsidP="00F34E0A">
      <w:pPr>
        <w:pStyle w:val="Paragraphedeliste"/>
        <w:numPr>
          <w:ilvl w:val="0"/>
          <w:numId w:val="63"/>
        </w:numPr>
        <w:spacing w:after="0"/>
        <w:ind w:right="260"/>
        <w:jc w:val="both"/>
      </w:pPr>
      <w:r w:rsidRPr="009D6A6C">
        <w:t xml:space="preserve">s’inscrire en </w:t>
      </w:r>
      <w:r w:rsidR="00DA1344">
        <w:t>conformité avec les actions menées par</w:t>
      </w:r>
      <w:r>
        <w:t xml:space="preserve"> l’Assurance Maladie </w:t>
      </w:r>
      <w:r w:rsidR="00DA1344">
        <w:t>au niveau national</w:t>
      </w:r>
      <w:r>
        <w:t>, et en renforcement des messages nationaux</w:t>
      </w:r>
      <w:r w:rsidR="00DA1344">
        <w:t>,</w:t>
      </w:r>
    </w:p>
    <w:p w:rsidR="009D6461" w:rsidRDefault="002947FB" w:rsidP="00F34E0A">
      <w:pPr>
        <w:pStyle w:val="Paragraphedeliste"/>
        <w:numPr>
          <w:ilvl w:val="0"/>
          <w:numId w:val="78"/>
        </w:numPr>
        <w:spacing w:after="0"/>
        <w:ind w:right="260"/>
        <w:jc w:val="both"/>
      </w:pPr>
      <w:r>
        <w:t xml:space="preserve"> répondre aux priorités retenues en région</w:t>
      </w:r>
      <w:r w:rsidR="00DA1344">
        <w:t>,</w:t>
      </w:r>
    </w:p>
    <w:p w:rsidR="00DA1344" w:rsidRDefault="00DA1344" w:rsidP="00F34E0A">
      <w:pPr>
        <w:pStyle w:val="Paragraphedeliste"/>
        <w:numPr>
          <w:ilvl w:val="0"/>
          <w:numId w:val="78"/>
        </w:numPr>
        <w:spacing w:after="0"/>
        <w:ind w:right="260"/>
        <w:jc w:val="both"/>
      </w:pPr>
      <w:r>
        <w:lastRenderedPageBreak/>
        <w:t>être en cohérence avec les autres actions mises en œuvre au sein du territoire,</w:t>
      </w:r>
    </w:p>
    <w:p w:rsidR="00AA753B" w:rsidRDefault="00AA753B" w:rsidP="00F34E0A">
      <w:pPr>
        <w:pStyle w:val="Paragraphedeliste"/>
        <w:numPr>
          <w:ilvl w:val="0"/>
          <w:numId w:val="78"/>
        </w:numPr>
        <w:spacing w:after="0"/>
        <w:ind w:right="260"/>
        <w:jc w:val="both"/>
      </w:pPr>
      <w:r>
        <w:t>tenir compte des résultats de l’évaluation des actions précédemment mises en œuvre,</w:t>
      </w:r>
    </w:p>
    <w:p w:rsidR="00DA1344" w:rsidRPr="00B5495A" w:rsidRDefault="00DA1344" w:rsidP="00F34E0A">
      <w:pPr>
        <w:pStyle w:val="Paragraphedeliste"/>
        <w:numPr>
          <w:ilvl w:val="0"/>
          <w:numId w:val="78"/>
        </w:numPr>
        <w:autoSpaceDE w:val="0"/>
        <w:autoSpaceDN w:val="0"/>
        <w:adjustRightInd w:val="0"/>
        <w:spacing w:after="0"/>
        <w:jc w:val="both"/>
      </w:pPr>
      <w:r w:rsidRPr="00B5495A">
        <w:rPr>
          <w:rFonts w:cs="Calibri"/>
          <w:color w:val="000000"/>
          <w:lang w:eastAsia="fr-FR"/>
        </w:rPr>
        <w:t>s’appuyer sur les professionnels de santé et les partenaires locaux</w:t>
      </w:r>
      <w:r w:rsidRPr="008A1643">
        <w:rPr>
          <w:rFonts w:cs="Calibri"/>
          <w:color w:val="000000"/>
          <w:lang w:eastAsia="fr-FR"/>
        </w:rPr>
        <w:t xml:space="preserve"> (PMI, </w:t>
      </w:r>
      <w:proofErr w:type="spellStart"/>
      <w:r w:rsidRPr="008A1643">
        <w:rPr>
          <w:rFonts w:cs="Calibri"/>
          <w:color w:val="000000"/>
          <w:lang w:eastAsia="fr-FR"/>
        </w:rPr>
        <w:t>CeGIDD</w:t>
      </w:r>
      <w:proofErr w:type="spellEnd"/>
      <w:r w:rsidRPr="008A1643">
        <w:rPr>
          <w:rFonts w:cs="Calibri"/>
          <w:color w:val="000000"/>
          <w:lang w:eastAsia="fr-FR"/>
        </w:rPr>
        <w:t>, CPEF, etc…) et lorsqu’elles se déroulent en milieu scolaire devront avoir obtenu l’aval du rectorat, notamment pour identifier les collèges et lycées prioritaires</w:t>
      </w:r>
      <w:r w:rsidR="00B9092A">
        <w:rPr>
          <w:rFonts w:cs="Calibri"/>
          <w:color w:val="000000"/>
          <w:lang w:eastAsia="fr-FR"/>
        </w:rPr>
        <w:t>,</w:t>
      </w:r>
    </w:p>
    <w:p w:rsidR="00B9092A" w:rsidRDefault="00AA753B" w:rsidP="00CF4DA1">
      <w:pPr>
        <w:pStyle w:val="Paragraphedeliste"/>
        <w:numPr>
          <w:ilvl w:val="0"/>
          <w:numId w:val="78"/>
        </w:numPr>
        <w:spacing w:after="0"/>
        <w:ind w:right="260"/>
        <w:jc w:val="both"/>
      </w:pPr>
      <w:r>
        <w:t>utiliser les outils nationaux existants disponibles notamment auprès de l’Assurance</w:t>
      </w:r>
      <w:r w:rsidR="00CF4DA1">
        <w:t xml:space="preserve"> </w:t>
      </w:r>
      <w:r w:rsidR="00B9092A">
        <w:t>Maladie et de Santé Publique France,</w:t>
      </w:r>
    </w:p>
    <w:p w:rsidR="006D7E5E" w:rsidRDefault="00B9092A" w:rsidP="00F34E0A">
      <w:pPr>
        <w:pStyle w:val="Default"/>
        <w:numPr>
          <w:ilvl w:val="0"/>
          <w:numId w:val="78"/>
        </w:numPr>
        <w:spacing w:line="276" w:lineRule="auto"/>
        <w:jc w:val="both"/>
        <w:rPr>
          <w:bCs/>
        </w:rPr>
      </w:pPr>
      <w:r>
        <w:rPr>
          <w:bCs/>
          <w:sz w:val="22"/>
          <w:szCs w:val="22"/>
        </w:rPr>
        <w:t>donner la lisibilité de la participation de l’Assurance Maladie en tant que partenaire de l’action.</w:t>
      </w:r>
    </w:p>
    <w:p w:rsidR="00DA1344" w:rsidRDefault="00DA1344" w:rsidP="00F34E0A">
      <w:pPr>
        <w:spacing w:after="0"/>
        <w:ind w:right="260"/>
        <w:jc w:val="both"/>
      </w:pPr>
    </w:p>
    <w:p w:rsidR="00FC28D5" w:rsidRDefault="00FC28D5" w:rsidP="00F34E0A">
      <w:pPr>
        <w:spacing w:after="0"/>
        <w:ind w:right="260"/>
        <w:jc w:val="both"/>
      </w:pPr>
      <w:r>
        <w:t xml:space="preserve">Si le promoteur a </w:t>
      </w:r>
      <w:r w:rsidR="00E54566">
        <w:t>précédemment</w:t>
      </w:r>
      <w:r>
        <w:t xml:space="preserve"> mis en place ce type d’action, il devra </w:t>
      </w:r>
      <w:r w:rsidR="00AA753B">
        <w:t xml:space="preserve">en </w:t>
      </w:r>
      <w:r w:rsidR="00E54566">
        <w:t xml:space="preserve">produire </w:t>
      </w:r>
      <w:r w:rsidR="00AA753B">
        <w:t>l</w:t>
      </w:r>
      <w:r w:rsidR="00241D91">
        <w:t xml:space="preserve">es </w:t>
      </w:r>
      <w:r>
        <w:t>évaluation</w:t>
      </w:r>
      <w:r w:rsidR="00241D91">
        <w:t>s quantitative,</w:t>
      </w:r>
      <w:r w:rsidR="00E54566">
        <w:t xml:space="preserve"> qualitative</w:t>
      </w:r>
      <w:r w:rsidR="00241D91">
        <w:t xml:space="preserve"> et de processus,</w:t>
      </w:r>
      <w:r w:rsidR="00E54566">
        <w:t xml:space="preserve"> et s’en inspirer</w:t>
      </w:r>
      <w:r>
        <w:t xml:space="preserve"> lors de l’élaboration de la nouvelle action.</w:t>
      </w:r>
    </w:p>
    <w:p w:rsidR="002947FB" w:rsidRDefault="002947FB" w:rsidP="00205F01">
      <w:pPr>
        <w:spacing w:after="0"/>
        <w:ind w:right="260"/>
      </w:pPr>
    </w:p>
    <w:p w:rsidR="00B9092A" w:rsidRDefault="00B9092A" w:rsidP="00F3766C">
      <w:pPr>
        <w:spacing w:after="0"/>
        <w:ind w:right="260"/>
        <w:jc w:val="both"/>
      </w:pPr>
    </w:p>
    <w:p w:rsidR="008168F6" w:rsidRDefault="00B9092A" w:rsidP="00F3766C">
      <w:pPr>
        <w:spacing w:after="0"/>
        <w:ind w:right="260"/>
        <w:jc w:val="both"/>
      </w:pPr>
      <w:r>
        <w:t>En lien avec ce qui précède</w:t>
      </w:r>
      <w:r w:rsidR="00F3766C" w:rsidRPr="00F3766C">
        <w:t>, les promoteurs pourront proposer des actio</w:t>
      </w:r>
      <w:r w:rsidR="00F3766C">
        <w:t xml:space="preserve">ns </w:t>
      </w:r>
      <w:r w:rsidR="00524501">
        <w:t xml:space="preserve">pour les </w:t>
      </w:r>
      <w:r w:rsidR="00524501" w:rsidRPr="002B0DCC">
        <w:rPr>
          <w:b/>
        </w:rPr>
        <w:t xml:space="preserve">publics cibles </w:t>
      </w:r>
      <w:r w:rsidR="008C17EF" w:rsidRPr="002B0DCC">
        <w:rPr>
          <w:b/>
        </w:rPr>
        <w:t xml:space="preserve">prioritaires </w:t>
      </w:r>
      <w:r w:rsidR="00681A82" w:rsidRPr="002B0DCC">
        <w:rPr>
          <w:b/>
        </w:rPr>
        <w:t>socialement défavorisés</w:t>
      </w:r>
      <w:r w:rsidR="00524501">
        <w:t xml:space="preserve">, </w:t>
      </w:r>
      <w:r w:rsidR="00F3766C">
        <w:t>dont les objectifs sont :</w:t>
      </w:r>
    </w:p>
    <w:p w:rsidR="00F34E0A" w:rsidRPr="00F3766C" w:rsidRDefault="00F34E0A" w:rsidP="00F3766C">
      <w:pPr>
        <w:spacing w:after="0"/>
        <w:ind w:right="260"/>
        <w:jc w:val="both"/>
      </w:pPr>
    </w:p>
    <w:p w:rsidR="00790E04" w:rsidRDefault="008168F6" w:rsidP="00F34E0A">
      <w:pPr>
        <w:numPr>
          <w:ilvl w:val="0"/>
          <w:numId w:val="26"/>
        </w:numPr>
        <w:spacing w:before="60" w:after="0" w:line="240" w:lineRule="auto"/>
        <w:ind w:left="714" w:right="261" w:hanging="357"/>
        <w:jc w:val="both"/>
      </w:pPr>
      <w:r w:rsidRPr="00F3766C">
        <w:t>Développer et promouv</w:t>
      </w:r>
      <w:r w:rsidR="0045295F">
        <w:t>oir l’éducation à la sexualité ;</w:t>
      </w:r>
    </w:p>
    <w:p w:rsidR="008168F6" w:rsidRDefault="008168F6" w:rsidP="00F34E0A">
      <w:pPr>
        <w:numPr>
          <w:ilvl w:val="0"/>
          <w:numId w:val="26"/>
        </w:numPr>
        <w:spacing w:before="60" w:after="0" w:line="240" w:lineRule="auto"/>
        <w:ind w:left="714" w:right="261" w:hanging="357"/>
        <w:jc w:val="both"/>
      </w:pPr>
      <w:r>
        <w:t>Favoriser la d</w:t>
      </w:r>
      <w:r w:rsidRPr="00F3766C">
        <w:t>iminu</w:t>
      </w:r>
      <w:r>
        <w:t>tion d</w:t>
      </w:r>
      <w:r w:rsidR="00752B46">
        <w:t>es grossesses non désirées</w:t>
      </w:r>
      <w:r w:rsidR="0045295F">
        <w:t xml:space="preserve"> par l’éducation à la sexualité ;</w:t>
      </w:r>
    </w:p>
    <w:p w:rsidR="003F3C9F" w:rsidRPr="000E609E" w:rsidRDefault="00F3766C" w:rsidP="00F34E0A">
      <w:pPr>
        <w:numPr>
          <w:ilvl w:val="0"/>
          <w:numId w:val="26"/>
        </w:numPr>
        <w:spacing w:before="60" w:after="0" w:line="240" w:lineRule="auto"/>
        <w:ind w:left="714" w:right="261" w:hanging="357"/>
        <w:jc w:val="both"/>
      </w:pPr>
      <w:r w:rsidRPr="000E609E">
        <w:t>Informer les publics cible</w:t>
      </w:r>
      <w:r w:rsidR="0045295F" w:rsidRPr="000E609E">
        <w:t>s</w:t>
      </w:r>
      <w:r w:rsidRPr="000E609E">
        <w:t xml:space="preserve"> de l’existence des dispositifs </w:t>
      </w:r>
      <w:r w:rsidR="003F3C9F" w:rsidRPr="000E609E">
        <w:t xml:space="preserve">de gratuité de la contraception </w:t>
      </w:r>
      <w:r w:rsidR="00670601" w:rsidRPr="000E609E">
        <w:t xml:space="preserve">et </w:t>
      </w:r>
      <w:r w:rsidR="0045295F" w:rsidRPr="000E609E">
        <w:t xml:space="preserve">de la </w:t>
      </w:r>
      <w:r w:rsidR="00670601" w:rsidRPr="000E609E">
        <w:t>contraception d’urgence</w:t>
      </w:r>
      <w:r w:rsidR="0045295F" w:rsidRPr="000E609E">
        <w:t> ;</w:t>
      </w:r>
      <w:r w:rsidR="00654A11" w:rsidRPr="000E609E">
        <w:t xml:space="preserve"> de </w:t>
      </w:r>
      <w:r w:rsidR="00CF4DA1">
        <w:t xml:space="preserve">l’extension de la </w:t>
      </w:r>
      <w:r w:rsidR="00654A11" w:rsidRPr="000E609E">
        <w:t xml:space="preserve">consultation </w:t>
      </w:r>
      <w:r w:rsidR="002725FB">
        <w:t>de préven</w:t>
      </w:r>
      <w:r w:rsidR="003A4DC8">
        <w:t>t</w:t>
      </w:r>
      <w:r w:rsidR="002725FB">
        <w:t xml:space="preserve">ion </w:t>
      </w:r>
      <w:r w:rsidR="00654A11" w:rsidRPr="000E609E">
        <w:t xml:space="preserve">santé sexuelle gratuite pour les </w:t>
      </w:r>
      <w:r w:rsidR="00C47595" w:rsidRPr="000E609E">
        <w:t>garçons</w:t>
      </w:r>
      <w:r w:rsidR="00654A11" w:rsidRPr="000E609E">
        <w:t> ;</w:t>
      </w:r>
    </w:p>
    <w:p w:rsidR="00D24006" w:rsidRPr="000E609E" w:rsidRDefault="008168F6" w:rsidP="00F34E0A">
      <w:pPr>
        <w:numPr>
          <w:ilvl w:val="0"/>
          <w:numId w:val="26"/>
        </w:numPr>
        <w:spacing w:before="60" w:after="0" w:line="240" w:lineRule="auto"/>
        <w:ind w:left="714" w:right="261" w:hanging="357"/>
        <w:jc w:val="both"/>
      </w:pPr>
      <w:r w:rsidRPr="000E609E">
        <w:t>Informer</w:t>
      </w:r>
      <w:r w:rsidR="00F82CEB" w:rsidRPr="000E609E">
        <w:t xml:space="preserve"> les publics cibles</w:t>
      </w:r>
      <w:r w:rsidRPr="000E609E">
        <w:t xml:space="preserve"> sur</w:t>
      </w:r>
      <w:r w:rsidR="00D24006" w:rsidRPr="000E609E">
        <w:t xml:space="preserve"> le</w:t>
      </w:r>
      <w:r w:rsidR="00364E45" w:rsidRPr="000E609E">
        <w:t xml:space="preserve">s modalités </w:t>
      </w:r>
      <w:r w:rsidRPr="000E609E">
        <w:t xml:space="preserve">pratiques </w:t>
      </w:r>
      <w:r w:rsidR="00364E45" w:rsidRPr="000E609E">
        <w:t>de la</w:t>
      </w:r>
      <w:r w:rsidRPr="000E609E">
        <w:t xml:space="preserve"> gratuité et du secret de la</w:t>
      </w:r>
      <w:r w:rsidR="00364E45" w:rsidRPr="000E609E">
        <w:t xml:space="preserve"> 1</w:t>
      </w:r>
      <w:r w:rsidR="00364E45" w:rsidRPr="000E609E">
        <w:rPr>
          <w:vertAlign w:val="superscript"/>
        </w:rPr>
        <w:t>ère</w:t>
      </w:r>
      <w:r w:rsidR="00364E45" w:rsidRPr="000E609E">
        <w:t xml:space="preserve"> consultation</w:t>
      </w:r>
      <w:r w:rsidR="00D24006" w:rsidRPr="000E609E">
        <w:t>,</w:t>
      </w:r>
      <w:r w:rsidRPr="000E609E">
        <w:t xml:space="preserve"> de la consultation annuelle, des actes et examens de biologie </w:t>
      </w:r>
      <w:r w:rsidR="005A7ED1" w:rsidRPr="000E609E">
        <w:t>en lien</w:t>
      </w:r>
      <w:r w:rsidRPr="000E609E">
        <w:t>, etc</w:t>
      </w:r>
      <w:r w:rsidR="001C2B72" w:rsidRPr="000E609E">
        <w:t>…</w:t>
      </w:r>
      <w:r w:rsidR="00C47595" w:rsidRPr="000E609E">
        <w:t>, et de la consultation santé sexuelle gratuite pour les garçons</w:t>
      </w:r>
      <w:r w:rsidR="0045295F" w:rsidRPr="000E609E">
        <w:t> ;</w:t>
      </w:r>
    </w:p>
    <w:p w:rsidR="00672DCB" w:rsidRPr="00D32864" w:rsidRDefault="00672DCB" w:rsidP="00F34E0A">
      <w:pPr>
        <w:numPr>
          <w:ilvl w:val="0"/>
          <w:numId w:val="26"/>
        </w:numPr>
        <w:spacing w:before="60" w:after="0" w:line="240" w:lineRule="auto"/>
        <w:ind w:left="714" w:right="261" w:hanging="357"/>
        <w:jc w:val="both"/>
      </w:pPr>
      <w:r w:rsidRPr="00D32864">
        <w:t>Participer à la réduction des risques liés aux hépatites et au</w:t>
      </w:r>
      <w:r w:rsidR="00D32864" w:rsidRPr="00D32864">
        <w:t>x IST</w:t>
      </w:r>
      <w:r w:rsidRPr="00D32864">
        <w:t> ;</w:t>
      </w:r>
    </w:p>
    <w:p w:rsidR="00670601" w:rsidRPr="00100708" w:rsidRDefault="00670601" w:rsidP="00F34E0A">
      <w:pPr>
        <w:numPr>
          <w:ilvl w:val="0"/>
          <w:numId w:val="26"/>
        </w:numPr>
        <w:spacing w:before="60" w:after="0" w:line="240" w:lineRule="auto"/>
        <w:ind w:left="714" w:right="261" w:hanging="357"/>
        <w:jc w:val="both"/>
      </w:pPr>
      <w:r w:rsidRPr="00100708">
        <w:t xml:space="preserve">Informer </w:t>
      </w:r>
      <w:r w:rsidR="001C0C3D">
        <w:t xml:space="preserve">les publics cibles </w:t>
      </w:r>
      <w:r w:rsidRPr="00100708">
        <w:t xml:space="preserve">sur les professionnels ou structures locales permettant </w:t>
      </w:r>
      <w:r w:rsidR="0045295F">
        <w:t>d’avoir des informations</w:t>
      </w:r>
      <w:r w:rsidRPr="00100708">
        <w:t xml:space="preserve"> sur la c</w:t>
      </w:r>
      <w:r w:rsidR="0045295F">
        <w:t>ontraception (CPEF notamment) et les lieux de dépistage anonymes et gratuits ;</w:t>
      </w:r>
    </w:p>
    <w:p w:rsidR="00A83AD8" w:rsidRDefault="00856688" w:rsidP="00F34E0A">
      <w:pPr>
        <w:numPr>
          <w:ilvl w:val="0"/>
          <w:numId w:val="26"/>
        </w:numPr>
        <w:spacing w:before="60" w:after="0" w:line="240" w:lineRule="auto"/>
        <w:ind w:left="714" w:right="261" w:hanging="357"/>
        <w:jc w:val="both"/>
      </w:pPr>
      <w:r>
        <w:t xml:space="preserve">Informer </w:t>
      </w:r>
      <w:r w:rsidR="00524501">
        <w:t xml:space="preserve">les publics cibles </w:t>
      </w:r>
      <w:r>
        <w:t>de l’existence et des modalités du dispositif de dépistage com</w:t>
      </w:r>
      <w:r w:rsidR="002629D9">
        <w:t>munautaire par TROD pour le VIH</w:t>
      </w:r>
      <w:r w:rsidR="0087617A">
        <w:t>, VHC et</w:t>
      </w:r>
      <w:r w:rsidR="00F82CEB">
        <w:t xml:space="preserve"> </w:t>
      </w:r>
      <w:r w:rsidR="0087617A">
        <w:t>VHB</w:t>
      </w:r>
      <w:r w:rsidR="009B6E74">
        <w:t>.</w:t>
      </w:r>
    </w:p>
    <w:p w:rsidR="006A3102" w:rsidRDefault="006A3102" w:rsidP="00005391">
      <w:pPr>
        <w:spacing w:before="60" w:after="0" w:line="240" w:lineRule="auto"/>
        <w:ind w:right="261"/>
        <w:jc w:val="both"/>
        <w:rPr>
          <w:b/>
        </w:rPr>
      </w:pPr>
    </w:p>
    <w:p w:rsidR="005B3E3B" w:rsidRPr="0099585E" w:rsidRDefault="005B3E3B" w:rsidP="00BD06F6">
      <w:pPr>
        <w:pStyle w:val="Style1"/>
        <w:spacing w:before="360"/>
        <w:ind w:hanging="5"/>
        <w:contextualSpacing/>
        <w:rPr>
          <w:sz w:val="22"/>
          <w:szCs w:val="22"/>
        </w:rPr>
      </w:pPr>
      <w:r w:rsidRPr="0099585E">
        <w:rPr>
          <w:sz w:val="22"/>
          <w:szCs w:val="22"/>
        </w:rPr>
        <w:t xml:space="preserve">POPULATIONS CIBLES </w:t>
      </w:r>
    </w:p>
    <w:p w:rsidR="00681A82" w:rsidRDefault="004233AC" w:rsidP="00F34E0A">
      <w:pPr>
        <w:pStyle w:val="Default"/>
        <w:jc w:val="both"/>
        <w:rPr>
          <w:sz w:val="22"/>
          <w:szCs w:val="22"/>
        </w:rPr>
      </w:pPr>
      <w:r>
        <w:rPr>
          <w:sz w:val="22"/>
          <w:szCs w:val="22"/>
        </w:rPr>
        <w:t xml:space="preserve">Les actions devront cibler les </w:t>
      </w:r>
      <w:r w:rsidRPr="002B0DCC">
        <w:rPr>
          <w:b/>
          <w:sz w:val="22"/>
          <w:szCs w:val="22"/>
        </w:rPr>
        <w:t>populations socialement défavorisées</w:t>
      </w:r>
      <w:r>
        <w:rPr>
          <w:sz w:val="22"/>
          <w:szCs w:val="22"/>
        </w:rPr>
        <w:t>, et au sein de cette population, plus particulièrement :</w:t>
      </w:r>
    </w:p>
    <w:p w:rsidR="004233AC" w:rsidRPr="002B0DCC" w:rsidRDefault="004233AC" w:rsidP="00F34E0A">
      <w:pPr>
        <w:pStyle w:val="Default"/>
        <w:jc w:val="both"/>
        <w:rPr>
          <w:color w:val="auto"/>
          <w:sz w:val="22"/>
          <w:szCs w:val="22"/>
        </w:rPr>
      </w:pPr>
    </w:p>
    <w:p w:rsidR="005B3E3B" w:rsidRPr="002B0DCC" w:rsidRDefault="0099334E" w:rsidP="00F34E0A">
      <w:pPr>
        <w:pStyle w:val="Default"/>
        <w:numPr>
          <w:ilvl w:val="0"/>
          <w:numId w:val="62"/>
        </w:numPr>
        <w:jc w:val="both"/>
        <w:rPr>
          <w:color w:val="auto"/>
          <w:sz w:val="22"/>
          <w:szCs w:val="22"/>
        </w:rPr>
      </w:pPr>
      <w:r>
        <w:rPr>
          <w:color w:val="auto"/>
          <w:sz w:val="22"/>
          <w:szCs w:val="22"/>
        </w:rPr>
        <w:t>pour le volet contraception :</w:t>
      </w:r>
      <w:r w:rsidR="00F82CEB">
        <w:rPr>
          <w:color w:val="auto"/>
          <w:sz w:val="22"/>
          <w:szCs w:val="22"/>
        </w:rPr>
        <w:t xml:space="preserve"> les </w:t>
      </w:r>
      <w:r>
        <w:rPr>
          <w:color w:val="auto"/>
          <w:sz w:val="22"/>
          <w:szCs w:val="22"/>
        </w:rPr>
        <w:t xml:space="preserve">jeunes </w:t>
      </w:r>
      <w:r w:rsidR="00F82CEB">
        <w:rPr>
          <w:color w:val="auto"/>
          <w:sz w:val="22"/>
          <w:szCs w:val="22"/>
        </w:rPr>
        <w:t>de moins de 2</w:t>
      </w:r>
      <w:r w:rsidR="009A4483">
        <w:rPr>
          <w:color w:val="auto"/>
          <w:sz w:val="22"/>
          <w:szCs w:val="22"/>
        </w:rPr>
        <w:t>6</w:t>
      </w:r>
      <w:r w:rsidR="00F82CEB">
        <w:rPr>
          <w:color w:val="auto"/>
          <w:sz w:val="22"/>
          <w:szCs w:val="22"/>
        </w:rPr>
        <w:t xml:space="preserve"> ans</w:t>
      </w:r>
      <w:r w:rsidR="0099585E" w:rsidRPr="002B0DCC">
        <w:rPr>
          <w:color w:val="auto"/>
          <w:sz w:val="22"/>
          <w:szCs w:val="22"/>
        </w:rPr>
        <w:t>.</w:t>
      </w:r>
      <w:r w:rsidR="0099585E" w:rsidRPr="002B0DCC">
        <w:rPr>
          <w:b/>
          <w:bCs/>
          <w:color w:val="auto"/>
          <w:sz w:val="22"/>
          <w:szCs w:val="22"/>
        </w:rPr>
        <w:t xml:space="preserve"> </w:t>
      </w:r>
      <w:r w:rsidR="0099585E" w:rsidRPr="002B0DCC">
        <w:rPr>
          <w:bCs/>
          <w:color w:val="auto"/>
          <w:sz w:val="22"/>
          <w:szCs w:val="22"/>
        </w:rPr>
        <w:t>Les actions</w:t>
      </w:r>
      <w:r w:rsidR="0099585E" w:rsidRPr="002B0DCC">
        <w:rPr>
          <w:b/>
          <w:bCs/>
          <w:color w:val="auto"/>
          <w:sz w:val="22"/>
          <w:szCs w:val="22"/>
        </w:rPr>
        <w:t xml:space="preserve"> </w:t>
      </w:r>
      <w:r w:rsidR="0099585E" w:rsidRPr="002B0DCC">
        <w:rPr>
          <w:bCs/>
          <w:color w:val="auto"/>
          <w:sz w:val="22"/>
          <w:szCs w:val="22"/>
        </w:rPr>
        <w:t>cibleront les personnes socialement défavorisées (isolement géographique, social, faible accès au numérique, conditions de vie et d’hébergement collectif ou précaire, moindre recours aux soins, difficultés de compréhension et d’accès à l’information,…),</w:t>
      </w:r>
      <w:r w:rsidR="004233AC" w:rsidRPr="002B0DCC">
        <w:rPr>
          <w:bCs/>
          <w:color w:val="auto"/>
          <w:sz w:val="22"/>
          <w:szCs w:val="22"/>
        </w:rPr>
        <w:t xml:space="preserve"> celles souffrant de handicaps qui sont habituellement moins bien informées,…</w:t>
      </w:r>
    </w:p>
    <w:p w:rsidR="005B3E3B" w:rsidRPr="002B0DCC" w:rsidRDefault="0099334E" w:rsidP="00F34E0A">
      <w:pPr>
        <w:pStyle w:val="Default"/>
        <w:numPr>
          <w:ilvl w:val="0"/>
          <w:numId w:val="62"/>
        </w:numPr>
        <w:jc w:val="both"/>
        <w:rPr>
          <w:color w:val="auto"/>
          <w:sz w:val="22"/>
          <w:szCs w:val="22"/>
        </w:rPr>
      </w:pPr>
      <w:r w:rsidRPr="002B0DCC">
        <w:rPr>
          <w:color w:val="auto"/>
          <w:sz w:val="22"/>
          <w:szCs w:val="22"/>
        </w:rPr>
        <w:lastRenderedPageBreak/>
        <w:t>pour le volet prévention du VIH</w:t>
      </w:r>
      <w:r>
        <w:rPr>
          <w:color w:val="auto"/>
          <w:sz w:val="22"/>
          <w:szCs w:val="22"/>
        </w:rPr>
        <w:t xml:space="preserve">, VHC et VHB : </w:t>
      </w:r>
      <w:r w:rsidR="005B3E3B" w:rsidRPr="002B0DCC">
        <w:rPr>
          <w:color w:val="auto"/>
          <w:sz w:val="22"/>
          <w:szCs w:val="22"/>
        </w:rPr>
        <w:t>les migrants, les populations socialement défavorisées, les populations plus particulièrement exposées aux risques.</w:t>
      </w:r>
    </w:p>
    <w:p w:rsidR="005B3E3B" w:rsidRPr="0099585E" w:rsidRDefault="005B3E3B" w:rsidP="00F34E0A">
      <w:pPr>
        <w:pStyle w:val="Default"/>
        <w:ind w:left="720"/>
        <w:jc w:val="both"/>
        <w:rPr>
          <w:sz w:val="22"/>
          <w:szCs w:val="22"/>
        </w:rPr>
      </w:pPr>
    </w:p>
    <w:p w:rsidR="005B3E3B" w:rsidRPr="0099585E" w:rsidRDefault="00350115" w:rsidP="00F34E0A">
      <w:pPr>
        <w:pStyle w:val="Default"/>
        <w:jc w:val="both"/>
        <w:rPr>
          <w:sz w:val="22"/>
          <w:szCs w:val="22"/>
        </w:rPr>
      </w:pPr>
      <w:r w:rsidRPr="00350115">
        <w:rPr>
          <w:b/>
          <w:sz w:val="22"/>
          <w:szCs w:val="22"/>
        </w:rPr>
        <w:t>N</w:t>
      </w:r>
      <w:r w:rsidR="005B3E3B" w:rsidRPr="00350115">
        <w:rPr>
          <w:b/>
          <w:sz w:val="22"/>
          <w:szCs w:val="22"/>
        </w:rPr>
        <w:t>on éligibles</w:t>
      </w:r>
      <w:r>
        <w:rPr>
          <w:sz w:val="22"/>
          <w:szCs w:val="22"/>
        </w:rPr>
        <w:t xml:space="preserve"> (exemples)</w:t>
      </w:r>
      <w:r w:rsidR="005B3E3B" w:rsidRPr="0099585E">
        <w:rPr>
          <w:sz w:val="22"/>
          <w:szCs w:val="22"/>
        </w:rPr>
        <w:t> :</w:t>
      </w:r>
    </w:p>
    <w:p w:rsidR="004233AC" w:rsidRPr="004233AC" w:rsidRDefault="005B3E3B" w:rsidP="00F34E0A">
      <w:pPr>
        <w:pStyle w:val="Default"/>
        <w:numPr>
          <w:ilvl w:val="0"/>
          <w:numId w:val="62"/>
        </w:numPr>
        <w:ind w:left="284" w:hanging="11"/>
        <w:jc w:val="both"/>
        <w:rPr>
          <w:sz w:val="22"/>
          <w:szCs w:val="22"/>
        </w:rPr>
      </w:pPr>
      <w:r>
        <w:rPr>
          <w:sz w:val="22"/>
          <w:szCs w:val="22"/>
        </w:rPr>
        <w:t xml:space="preserve">Les actions </w:t>
      </w:r>
      <w:r w:rsidR="00BE4B24">
        <w:rPr>
          <w:sz w:val="22"/>
          <w:szCs w:val="22"/>
        </w:rPr>
        <w:t>non ciblées publics prioritaires</w:t>
      </w:r>
      <w:r w:rsidR="0099334E">
        <w:rPr>
          <w:sz w:val="22"/>
          <w:szCs w:val="22"/>
        </w:rPr>
        <w:t> ;</w:t>
      </w:r>
      <w:r w:rsidR="004233AC">
        <w:rPr>
          <w:sz w:val="22"/>
          <w:szCs w:val="22"/>
        </w:rPr>
        <w:t> </w:t>
      </w:r>
    </w:p>
    <w:p w:rsidR="005B3E3B" w:rsidRDefault="004233AC" w:rsidP="00F34E0A">
      <w:pPr>
        <w:pStyle w:val="Default"/>
        <w:numPr>
          <w:ilvl w:val="0"/>
          <w:numId w:val="62"/>
        </w:numPr>
        <w:ind w:left="709" w:hanging="425"/>
        <w:jc w:val="both"/>
        <w:rPr>
          <w:sz w:val="22"/>
          <w:szCs w:val="22"/>
        </w:rPr>
      </w:pPr>
      <w:r>
        <w:rPr>
          <w:sz w:val="22"/>
          <w:szCs w:val="22"/>
        </w:rPr>
        <w:t xml:space="preserve">Les actions </w:t>
      </w:r>
      <w:r w:rsidR="00FB78B9">
        <w:rPr>
          <w:sz w:val="22"/>
          <w:szCs w:val="22"/>
        </w:rPr>
        <w:t xml:space="preserve">sur la contraception </w:t>
      </w:r>
      <w:r w:rsidR="005B3E3B">
        <w:rPr>
          <w:sz w:val="22"/>
          <w:szCs w:val="22"/>
        </w:rPr>
        <w:t xml:space="preserve">à destination des </w:t>
      </w:r>
      <w:r w:rsidR="00F82CEB">
        <w:rPr>
          <w:sz w:val="22"/>
          <w:szCs w:val="22"/>
        </w:rPr>
        <w:t xml:space="preserve">personnes âgées de </w:t>
      </w:r>
      <w:r w:rsidR="00CE17B7">
        <w:rPr>
          <w:sz w:val="22"/>
          <w:szCs w:val="22"/>
        </w:rPr>
        <w:t xml:space="preserve">plus de </w:t>
      </w:r>
      <w:r w:rsidR="00F82CEB">
        <w:rPr>
          <w:sz w:val="22"/>
          <w:szCs w:val="22"/>
        </w:rPr>
        <w:t>2</w:t>
      </w:r>
      <w:r w:rsidR="009A4483">
        <w:rPr>
          <w:sz w:val="22"/>
          <w:szCs w:val="22"/>
        </w:rPr>
        <w:t>6</w:t>
      </w:r>
      <w:r w:rsidR="00F82CEB">
        <w:rPr>
          <w:sz w:val="22"/>
          <w:szCs w:val="22"/>
        </w:rPr>
        <w:t xml:space="preserve"> ans</w:t>
      </w:r>
      <w:r w:rsidR="005B3E3B">
        <w:rPr>
          <w:sz w:val="22"/>
          <w:szCs w:val="22"/>
        </w:rPr>
        <w:t> ;</w:t>
      </w:r>
    </w:p>
    <w:p w:rsidR="005B3E3B" w:rsidRPr="00FB1467" w:rsidRDefault="00CE17B7" w:rsidP="00F34E0A">
      <w:pPr>
        <w:pStyle w:val="Default"/>
        <w:numPr>
          <w:ilvl w:val="0"/>
          <w:numId w:val="62"/>
        </w:numPr>
        <w:ind w:left="284" w:hanging="11"/>
        <w:jc w:val="both"/>
        <w:rPr>
          <w:sz w:val="22"/>
          <w:szCs w:val="22"/>
        </w:rPr>
      </w:pPr>
      <w:r>
        <w:rPr>
          <w:sz w:val="22"/>
          <w:szCs w:val="22"/>
        </w:rPr>
        <w:t>Les actions grand public.</w:t>
      </w:r>
    </w:p>
    <w:p w:rsidR="005B3E3B" w:rsidRDefault="00CE17B7" w:rsidP="00CE17B7">
      <w:pPr>
        <w:tabs>
          <w:tab w:val="left" w:pos="5385"/>
        </w:tabs>
        <w:spacing w:before="60" w:after="0" w:line="240" w:lineRule="auto"/>
        <w:ind w:left="284" w:right="261"/>
        <w:rPr>
          <w:b/>
        </w:rPr>
      </w:pPr>
      <w:r>
        <w:rPr>
          <w:b/>
        </w:rPr>
        <w:tab/>
      </w:r>
    </w:p>
    <w:p w:rsidR="00EE3557" w:rsidRDefault="0099334E" w:rsidP="002B0DCC">
      <w:pPr>
        <w:pStyle w:val="Style1"/>
        <w:spacing w:before="360"/>
        <w:ind w:hanging="5"/>
        <w:contextualSpacing/>
        <w:jc w:val="both"/>
        <w:rPr>
          <w:sz w:val="22"/>
          <w:szCs w:val="22"/>
        </w:rPr>
      </w:pPr>
      <w:r>
        <w:rPr>
          <w:sz w:val="22"/>
          <w:szCs w:val="22"/>
        </w:rPr>
        <w:t>TYPOLOGIE</w:t>
      </w:r>
      <w:r w:rsidR="00856F94" w:rsidRPr="00B5495A">
        <w:rPr>
          <w:sz w:val="22"/>
          <w:szCs w:val="22"/>
        </w:rPr>
        <w:t xml:space="preserve"> </w:t>
      </w:r>
      <w:r w:rsidR="004651AB" w:rsidRPr="00B5495A">
        <w:rPr>
          <w:sz w:val="22"/>
          <w:szCs w:val="22"/>
        </w:rPr>
        <w:t>dES ACTIONS A METTRE EN PLACE sur la thematique SaNTE SEXUELLE</w:t>
      </w:r>
    </w:p>
    <w:p w:rsidR="00FE1626" w:rsidRDefault="00FE1626" w:rsidP="00FE1626">
      <w:pPr>
        <w:autoSpaceDE w:val="0"/>
        <w:autoSpaceDN w:val="0"/>
        <w:adjustRightInd w:val="0"/>
        <w:spacing w:after="0" w:line="240" w:lineRule="auto"/>
        <w:rPr>
          <w:rFonts w:cs="Calibri"/>
          <w:b/>
          <w:lang w:eastAsia="fr-FR"/>
        </w:rPr>
      </w:pPr>
      <w:r>
        <w:rPr>
          <w:b/>
        </w:rPr>
        <w:t xml:space="preserve">Les actions proposées sont des </w:t>
      </w:r>
      <w:r w:rsidRPr="00526B1D">
        <w:rPr>
          <w:rFonts w:cs="Calibri"/>
          <w:b/>
          <w:color w:val="000000"/>
          <w:lang w:eastAsia="fr-FR"/>
        </w:rPr>
        <w:t xml:space="preserve">actions </w:t>
      </w:r>
      <w:r>
        <w:rPr>
          <w:rFonts w:cs="Calibri"/>
          <w:b/>
          <w:color w:val="000000"/>
          <w:lang w:eastAsia="fr-FR"/>
        </w:rPr>
        <w:t xml:space="preserve">collectives de proximité </w:t>
      </w:r>
      <w:r w:rsidRPr="00425383">
        <w:rPr>
          <w:rFonts w:cs="Calibri"/>
          <w:b/>
          <w:lang w:eastAsia="fr-FR"/>
        </w:rPr>
        <w:t xml:space="preserve">mettant en </w:t>
      </w:r>
      <w:r w:rsidR="00D41930" w:rsidRPr="00425383">
        <w:rPr>
          <w:rFonts w:cs="Calibri"/>
          <w:b/>
          <w:lang w:eastAsia="fr-FR"/>
        </w:rPr>
        <w:t>œuvre</w:t>
      </w:r>
      <w:r w:rsidRPr="00425383">
        <w:rPr>
          <w:rFonts w:cs="Calibri"/>
          <w:b/>
          <w:lang w:eastAsia="fr-FR"/>
        </w:rPr>
        <w:t xml:space="preserve"> une approche </w:t>
      </w:r>
      <w:r>
        <w:rPr>
          <w:rFonts w:cs="Calibri"/>
          <w:b/>
          <w:lang w:eastAsia="fr-FR"/>
        </w:rPr>
        <w:t>pédagogique et d’accompagnement.</w:t>
      </w:r>
    </w:p>
    <w:p w:rsidR="00F34E0A" w:rsidRDefault="00F34E0A" w:rsidP="00FE1626">
      <w:pPr>
        <w:autoSpaceDE w:val="0"/>
        <w:autoSpaceDN w:val="0"/>
        <w:adjustRightInd w:val="0"/>
        <w:spacing w:after="0" w:line="240" w:lineRule="auto"/>
        <w:rPr>
          <w:rFonts w:cs="Calibri"/>
          <w:b/>
          <w:lang w:eastAsia="fr-FR"/>
        </w:rPr>
      </w:pPr>
    </w:p>
    <w:p w:rsidR="00521879" w:rsidRDefault="00521879" w:rsidP="00205F01">
      <w:pPr>
        <w:autoSpaceDE w:val="0"/>
        <w:autoSpaceDN w:val="0"/>
        <w:adjustRightInd w:val="0"/>
        <w:spacing w:after="0" w:line="240" w:lineRule="auto"/>
        <w:rPr>
          <w:b/>
        </w:rPr>
      </w:pPr>
      <w:r>
        <w:rPr>
          <w:rFonts w:cs="Calibri"/>
          <w:b/>
        </w:rPr>
        <w:t>→</w:t>
      </w:r>
      <w:r w:rsidR="003A4D1A">
        <w:rPr>
          <w:b/>
        </w:rPr>
        <w:t xml:space="preserve"> A</w:t>
      </w:r>
      <w:r>
        <w:rPr>
          <w:b/>
        </w:rPr>
        <w:t>ctions à mettre en place :</w:t>
      </w:r>
    </w:p>
    <w:p w:rsidR="007E3579" w:rsidRDefault="007E3579" w:rsidP="00205F01">
      <w:pPr>
        <w:autoSpaceDE w:val="0"/>
        <w:autoSpaceDN w:val="0"/>
        <w:adjustRightInd w:val="0"/>
        <w:spacing w:after="0" w:line="240" w:lineRule="auto"/>
        <w:rPr>
          <w:b/>
        </w:rPr>
      </w:pP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ateliers collectifs d’information et d’accompagnement des populations cibles,</w:t>
      </w: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 xml:space="preserve">actions d’éducation par les pairs, </w:t>
      </w: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démarches « d’aller vers »</w:t>
      </w:r>
      <w:r>
        <w:rPr>
          <w:rFonts w:cs="Calibri"/>
          <w:lang w:eastAsia="fr-FR"/>
        </w:rPr>
        <w:t xml:space="preserve"> dès lors qu’elles ont un caractère collectif</w:t>
      </w:r>
      <w:r w:rsidRPr="00A82DCE">
        <w:rPr>
          <w:rFonts w:cs="Calibri"/>
          <w:lang w:eastAsia="fr-FR"/>
        </w:rPr>
        <w:t xml:space="preserve">, </w:t>
      </w:r>
    </w:p>
    <w:p w:rsidR="00521879" w:rsidRPr="00A82DCE" w:rsidRDefault="00521879" w:rsidP="008810AC">
      <w:pPr>
        <w:pStyle w:val="Paragraphedeliste"/>
        <w:numPr>
          <w:ilvl w:val="0"/>
          <w:numId w:val="78"/>
        </w:numPr>
        <w:autoSpaceDE w:val="0"/>
        <w:autoSpaceDN w:val="0"/>
        <w:adjustRightInd w:val="0"/>
        <w:spacing w:after="0"/>
        <w:jc w:val="both"/>
      </w:pPr>
      <w:r w:rsidRPr="00A82DCE">
        <w:rPr>
          <w:rFonts w:cs="Calibri"/>
          <w:lang w:eastAsia="fr-FR"/>
        </w:rPr>
        <w:t>participation à des actions évènementielles locales, telles que forums, stands d’information, salons en lien avec les objectifs décrits ci-dessus et lorsque ces actions</w:t>
      </w:r>
      <w:r w:rsidRPr="00A82DCE">
        <w:t xml:space="preserve"> renvoient à des actions collectives de proximité en éducation et promotion de la santé sur ce même périmètre, pr</w:t>
      </w:r>
      <w:r>
        <w:t>ogrammées dans un délai proche.</w:t>
      </w:r>
      <w:r w:rsidRPr="00A82DCE">
        <w:t xml:space="preserve"> Un intervenant pouvant répondre aux questions des participants et apporter des éléments d’information pertinents sur le périmètre indiqué ci-dessus devra y être présent.</w:t>
      </w:r>
    </w:p>
    <w:p w:rsidR="00521879" w:rsidRDefault="00521879" w:rsidP="008810AC">
      <w:pPr>
        <w:autoSpaceDE w:val="0"/>
        <w:autoSpaceDN w:val="0"/>
        <w:adjustRightInd w:val="0"/>
        <w:spacing w:after="0" w:line="240" w:lineRule="auto"/>
        <w:jc w:val="both"/>
        <w:rPr>
          <w:b/>
        </w:rPr>
      </w:pPr>
    </w:p>
    <w:p w:rsidR="00D33B6D" w:rsidRDefault="00521879" w:rsidP="008810AC">
      <w:pPr>
        <w:spacing w:after="0" w:line="240" w:lineRule="auto"/>
        <w:ind w:left="567"/>
        <w:jc w:val="both"/>
      </w:pPr>
      <w:r>
        <w:rPr>
          <w:b/>
        </w:rPr>
        <w:t>Elles</w:t>
      </w:r>
      <w:r w:rsidR="00D846EB" w:rsidRPr="00B5495A">
        <w:rPr>
          <w:b/>
        </w:rPr>
        <w:t xml:space="preserve"> s’attacheront </w:t>
      </w:r>
      <w:r w:rsidR="00D33B6D" w:rsidRPr="00B5495A">
        <w:rPr>
          <w:b/>
        </w:rPr>
        <w:t>notamment</w:t>
      </w:r>
      <w:r w:rsidR="00D846EB" w:rsidRPr="00B5495A">
        <w:rPr>
          <w:b/>
        </w:rPr>
        <w:t xml:space="preserve"> à</w:t>
      </w:r>
      <w:r w:rsidR="00D846EB">
        <w:t xml:space="preserve"> </w:t>
      </w:r>
      <w:r w:rsidR="00D33B6D" w:rsidRPr="00D33B6D">
        <w:t>:</w:t>
      </w:r>
    </w:p>
    <w:p w:rsidR="00A82DCE" w:rsidRPr="002B0DCC" w:rsidRDefault="00A82DCE" w:rsidP="008810AC">
      <w:pPr>
        <w:spacing w:after="0" w:line="240" w:lineRule="auto"/>
        <w:ind w:left="567"/>
        <w:jc w:val="both"/>
      </w:pPr>
    </w:p>
    <w:p w:rsidR="00D33B6D" w:rsidRDefault="00D33B6D" w:rsidP="008810AC">
      <w:pPr>
        <w:pStyle w:val="Paragraphedeliste"/>
        <w:numPr>
          <w:ilvl w:val="0"/>
          <w:numId w:val="62"/>
        </w:numPr>
        <w:spacing w:after="0"/>
        <w:ind w:left="814"/>
        <w:jc w:val="both"/>
      </w:pPr>
      <w:r w:rsidRPr="00E36449">
        <w:t>apporter des éléments d’information et d’explications sur le parcours contraceptif promu par l’Assurance Maladie,</w:t>
      </w:r>
      <w:r w:rsidR="007F0FB9">
        <w:t xml:space="preserve"> la contraception d’urgence,</w:t>
      </w:r>
      <w:r w:rsidRPr="00E36449">
        <w:t xml:space="preserve"> </w:t>
      </w:r>
      <w:r w:rsidR="009A4483">
        <w:t>la consultation</w:t>
      </w:r>
      <w:r w:rsidR="00CE17B7">
        <w:t xml:space="preserve"> de prévention</w:t>
      </w:r>
      <w:r w:rsidR="009A4483">
        <w:t xml:space="preserve"> santé sexuelle, </w:t>
      </w:r>
      <w:r w:rsidRPr="00E36449">
        <w:t>sur les structures et professionnels de référence au niveau local, et sur la réduction des risques,</w:t>
      </w:r>
      <w:r>
        <w:t xml:space="preserve"> </w:t>
      </w:r>
    </w:p>
    <w:p w:rsidR="00D33B6D" w:rsidRPr="00E36449" w:rsidRDefault="00D33B6D" w:rsidP="008810AC">
      <w:pPr>
        <w:pStyle w:val="Paragraphedeliste"/>
        <w:numPr>
          <w:ilvl w:val="0"/>
          <w:numId w:val="62"/>
        </w:numPr>
        <w:spacing w:after="0"/>
        <w:ind w:left="814"/>
        <w:jc w:val="both"/>
      </w:pPr>
      <w:r>
        <w:t xml:space="preserve">augmenter les connaissances des publics cibles, en s’assurant de la bonne compréhension </w:t>
      </w:r>
      <w:r w:rsidRPr="00ED5542">
        <w:rPr>
          <w:rFonts w:cs="Calibri"/>
          <w:color w:val="000000"/>
          <w:lang w:eastAsia="fr-FR"/>
        </w:rPr>
        <w:t>et de la capacité des populations les plus socialement défavorisées à avoir accès</w:t>
      </w:r>
      <w:r>
        <w:rPr>
          <w:rFonts w:cs="Calibri"/>
          <w:color w:val="000000"/>
          <w:lang w:eastAsia="fr-FR"/>
        </w:rPr>
        <w:t xml:space="preserve"> au parcours contraceptif</w:t>
      </w:r>
      <w:r w:rsidR="00A82DCE">
        <w:rPr>
          <w:rFonts w:cs="Calibri"/>
          <w:color w:val="000000"/>
          <w:lang w:eastAsia="fr-FR"/>
        </w:rPr>
        <w:t>,</w:t>
      </w:r>
    </w:p>
    <w:p w:rsidR="00551D4B" w:rsidRPr="00D32864" w:rsidRDefault="009C632B" w:rsidP="008810AC">
      <w:pPr>
        <w:pStyle w:val="Paragraphedeliste"/>
        <w:numPr>
          <w:ilvl w:val="0"/>
          <w:numId w:val="62"/>
        </w:numPr>
        <w:spacing w:after="0"/>
        <w:ind w:left="814"/>
        <w:jc w:val="both"/>
        <w:rPr>
          <w:b/>
        </w:rPr>
      </w:pPr>
      <w:r>
        <w:t xml:space="preserve">promouvoir et </w:t>
      </w:r>
      <w:r w:rsidR="00D33B6D" w:rsidRPr="00E36449">
        <w:t xml:space="preserve">informer </w:t>
      </w:r>
      <w:r>
        <w:t xml:space="preserve">de manière pédagogique </w:t>
      </w:r>
      <w:r w:rsidR="00D33B6D" w:rsidRPr="00E36449">
        <w:t>sur la prévention des IST, et sur le dispositif de dépistages communautaires par TROD VIH</w:t>
      </w:r>
      <w:r w:rsidR="0099334E">
        <w:t>, VHC, VHB</w:t>
      </w:r>
      <w:r w:rsidR="00A82DCE">
        <w:t>,</w:t>
      </w:r>
      <w:r w:rsidR="00A82DCE" w:rsidRPr="00A82DCE" w:rsidDel="00A82DCE">
        <w:rPr>
          <w:rFonts w:cs="Calibri"/>
          <w:color w:val="000000"/>
          <w:lang w:eastAsia="fr-FR"/>
        </w:rPr>
        <w:t xml:space="preserve"> </w:t>
      </w:r>
      <w:r w:rsidR="00A82DCE">
        <w:rPr>
          <w:rFonts w:cs="Calibri"/>
          <w:color w:val="000000"/>
          <w:lang w:eastAsia="fr-FR"/>
        </w:rPr>
        <w:t>d’</w:t>
      </w:r>
      <w:r>
        <w:rPr>
          <w:rFonts w:cs="Calibri"/>
          <w:color w:val="000000"/>
          <w:lang w:eastAsia="fr-FR"/>
        </w:rPr>
        <w:t xml:space="preserve">amener le public cible </w:t>
      </w:r>
      <w:r w:rsidRPr="00D32864">
        <w:rPr>
          <w:rFonts w:cs="Calibri"/>
          <w:color w:val="000000"/>
          <w:lang w:eastAsia="fr-FR"/>
        </w:rPr>
        <w:t>à a</w:t>
      </w:r>
      <w:r w:rsidR="00D33B6D" w:rsidRPr="00D32864">
        <w:rPr>
          <w:rFonts w:cs="Calibri"/>
          <w:color w:val="000000"/>
          <w:lang w:eastAsia="fr-FR"/>
        </w:rPr>
        <w:t>ppli</w:t>
      </w:r>
      <w:r w:rsidRPr="00D32864">
        <w:rPr>
          <w:rFonts w:cs="Calibri"/>
          <w:color w:val="000000"/>
          <w:lang w:eastAsia="fr-FR"/>
        </w:rPr>
        <w:t>quer l</w:t>
      </w:r>
      <w:r w:rsidR="00D33B6D" w:rsidRPr="00D32864">
        <w:rPr>
          <w:rFonts w:cs="Calibri"/>
          <w:color w:val="000000"/>
          <w:lang w:eastAsia="fr-FR"/>
        </w:rPr>
        <w:t xml:space="preserve">es </w:t>
      </w:r>
      <w:r w:rsidRPr="00D32864">
        <w:rPr>
          <w:rFonts w:cs="Calibri"/>
          <w:color w:val="000000"/>
          <w:lang w:eastAsia="fr-FR"/>
        </w:rPr>
        <w:t>mesures de prévention des IST et des VIH</w:t>
      </w:r>
      <w:r w:rsidR="00D846EB" w:rsidRPr="00D32864">
        <w:rPr>
          <w:rFonts w:cs="Calibri"/>
          <w:color w:val="000000"/>
          <w:lang w:eastAsia="fr-FR"/>
        </w:rPr>
        <w:t>, VHC, et VHB</w:t>
      </w:r>
      <w:r w:rsidRPr="00D32864">
        <w:rPr>
          <w:rFonts w:cs="Calibri"/>
          <w:color w:val="000000"/>
          <w:lang w:eastAsia="fr-FR"/>
        </w:rPr>
        <w:t>.</w:t>
      </w:r>
    </w:p>
    <w:p w:rsidR="00E6798C" w:rsidRDefault="00E6798C" w:rsidP="008810AC">
      <w:pPr>
        <w:spacing w:after="0" w:line="240" w:lineRule="auto"/>
        <w:jc w:val="both"/>
        <w:rPr>
          <w:lang w:eastAsia="fr-FR"/>
        </w:rPr>
      </w:pPr>
    </w:p>
    <w:p w:rsidR="00E6798C" w:rsidRPr="00B5495A" w:rsidRDefault="00E6798C" w:rsidP="008810AC">
      <w:pPr>
        <w:jc w:val="both"/>
        <w:rPr>
          <w:rFonts w:cs="Calibri"/>
          <w:b/>
          <w:strike/>
        </w:rPr>
      </w:pPr>
      <w:r w:rsidRPr="008810AC">
        <w:rPr>
          <w:rFonts w:cs="Calibri"/>
          <w:b/>
        </w:rPr>
        <w:t xml:space="preserve">Pour toute demande de reconduction ou extension de projet, </w:t>
      </w:r>
      <w:r w:rsidRPr="008810AC">
        <w:rPr>
          <w:lang w:eastAsia="fr-FR"/>
        </w:rPr>
        <w:t xml:space="preserve">Il est rappelé que le promoteur doit </w:t>
      </w:r>
      <w:r w:rsidRPr="0026651E">
        <w:rPr>
          <w:lang w:eastAsia="fr-FR"/>
        </w:rPr>
        <w:t xml:space="preserve">produire à la Caisse les éléments d’évaluation </w:t>
      </w:r>
      <w:r>
        <w:rPr>
          <w:lang w:eastAsia="fr-FR"/>
        </w:rPr>
        <w:t xml:space="preserve">quantitative et qualitative </w:t>
      </w:r>
      <w:r w:rsidRPr="0026651E">
        <w:rPr>
          <w:lang w:eastAsia="fr-FR"/>
        </w:rPr>
        <w:t xml:space="preserve">de l’action réalisée en N-1 </w:t>
      </w:r>
      <w:r>
        <w:rPr>
          <w:lang w:eastAsia="fr-FR"/>
        </w:rPr>
        <w:t>ainsi que  leur analyse, don</w:t>
      </w:r>
      <w:r w:rsidRPr="0026651E">
        <w:rPr>
          <w:lang w:eastAsia="fr-FR"/>
        </w:rPr>
        <w:t xml:space="preserve">t </w:t>
      </w:r>
      <w:r>
        <w:rPr>
          <w:lang w:eastAsia="fr-FR"/>
        </w:rPr>
        <w:t xml:space="preserve">le contenu </w:t>
      </w:r>
      <w:r w:rsidRPr="0026651E">
        <w:rPr>
          <w:lang w:eastAsia="fr-FR"/>
        </w:rPr>
        <w:t>perm</w:t>
      </w:r>
      <w:r>
        <w:rPr>
          <w:lang w:eastAsia="fr-FR"/>
        </w:rPr>
        <w:t>et</w:t>
      </w:r>
      <w:r w:rsidRPr="0026651E">
        <w:rPr>
          <w:lang w:eastAsia="fr-FR"/>
        </w:rPr>
        <w:t xml:space="preserve"> d’en juger la pertinence</w:t>
      </w:r>
      <w:r>
        <w:rPr>
          <w:lang w:eastAsia="fr-FR"/>
        </w:rPr>
        <w:t xml:space="preserve"> et la performance</w:t>
      </w:r>
      <w:r w:rsidRPr="00E6798C">
        <w:rPr>
          <w:lang w:eastAsia="fr-FR"/>
        </w:rPr>
        <w:t>,</w:t>
      </w:r>
      <w:r w:rsidRPr="00B5495A">
        <w:rPr>
          <w:rFonts w:cs="Calibri"/>
          <w:b/>
        </w:rPr>
        <w:t xml:space="preserve"> sous peine de refus du dossier dans le cas contraire.</w:t>
      </w:r>
    </w:p>
    <w:p w:rsidR="002C6019" w:rsidRPr="002C6019" w:rsidRDefault="002C6019" w:rsidP="002C6019">
      <w:pPr>
        <w:spacing w:after="0"/>
        <w:rPr>
          <w:rFonts w:cs="Calibri"/>
          <w:bCs/>
          <w:color w:val="000000"/>
          <w:u w:val="single"/>
          <w:lang w:eastAsia="fr-FR"/>
        </w:rPr>
      </w:pPr>
      <w:r w:rsidRPr="002C6019">
        <w:rPr>
          <w:rFonts w:cs="Calibri"/>
          <w:bCs/>
          <w:color w:val="000000"/>
          <w:u w:val="single"/>
          <w:lang w:eastAsia="fr-FR"/>
        </w:rPr>
        <w:t>Les actions en promotion de la santé devront répondre aux critères de qualité suivants :</w:t>
      </w:r>
    </w:p>
    <w:p w:rsidR="002C6019" w:rsidRPr="002C6019" w:rsidRDefault="002C6019" w:rsidP="002C6019">
      <w:pPr>
        <w:spacing w:after="0"/>
        <w:rPr>
          <w:rFonts w:cs="Calibri"/>
          <w:bCs/>
          <w:color w:val="000000"/>
          <w:u w:val="single"/>
          <w:lang w:eastAsia="fr-FR"/>
        </w:rPr>
      </w:pP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lastRenderedPageBreak/>
        <w:t xml:space="preserve">s’inscrire en conformité avec les autres actions menées par l’Assurance maladie au niveau national, </w:t>
      </w: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 xml:space="preserve">répondre à des besoins identifiés en lien avec les partenaires locaux et les priorités retenues en région, </w:t>
      </w: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être en cohérence avec les autres actions mises en œuvre au sein d’un territoire.</w:t>
      </w:r>
    </w:p>
    <w:p w:rsidR="002C6019" w:rsidRPr="002C6019" w:rsidRDefault="002C6019" w:rsidP="002C6019">
      <w:pPr>
        <w:spacing w:after="0"/>
        <w:rPr>
          <w:rFonts w:cs="Calibri"/>
          <w:bCs/>
          <w:color w:val="000000"/>
          <w:lang w:eastAsia="fr-FR"/>
        </w:rPr>
      </w:pPr>
    </w:p>
    <w:p w:rsidR="002C6019" w:rsidRPr="002C6019" w:rsidRDefault="002C6019" w:rsidP="002C6019">
      <w:pPr>
        <w:spacing w:after="0"/>
        <w:rPr>
          <w:rFonts w:cs="Calibri"/>
          <w:bCs/>
          <w:color w:val="000000"/>
          <w:lang w:eastAsia="fr-FR"/>
        </w:rPr>
      </w:pPr>
      <w:r w:rsidRPr="002C6019">
        <w:rPr>
          <w:rFonts w:cs="Calibri"/>
          <w:bCs/>
          <w:color w:val="000000"/>
          <w:lang w:eastAsia="fr-FR"/>
        </w:rPr>
        <w:t xml:space="preserve">Afin de rejoindre les populations les plus socialement défavorisées, ces actions devront </w:t>
      </w:r>
      <w:r w:rsidRPr="002C6019">
        <w:rPr>
          <w:rFonts w:cs="Calibri"/>
          <w:b/>
          <w:bCs/>
          <w:color w:val="000000"/>
          <w:lang w:eastAsia="fr-FR"/>
        </w:rPr>
        <w:t xml:space="preserve">s’appuyer sur les acteurs locaux, les collectivités locales et territoriales, </w:t>
      </w:r>
      <w:r w:rsidRPr="002C6019">
        <w:rPr>
          <w:rFonts w:cs="Calibri"/>
          <w:bCs/>
          <w:color w:val="000000"/>
          <w:lang w:eastAsia="fr-FR"/>
        </w:rPr>
        <w:t xml:space="preserve">notamment les communes, les associations et les professionnels de santé. </w:t>
      </w:r>
    </w:p>
    <w:p w:rsidR="00E6798C" w:rsidRDefault="00E6798C" w:rsidP="0072078D">
      <w:pPr>
        <w:spacing w:after="0"/>
        <w:rPr>
          <w:rFonts w:cs="Calibri"/>
          <w:bCs/>
          <w:color w:val="000000"/>
          <w:lang w:eastAsia="fr-FR"/>
        </w:rPr>
      </w:pPr>
    </w:p>
    <w:p w:rsidR="00A676BE" w:rsidRPr="008810AC" w:rsidRDefault="00A676BE" w:rsidP="008810AC">
      <w:pPr>
        <w:autoSpaceDE w:val="0"/>
        <w:autoSpaceDN w:val="0"/>
        <w:adjustRightInd w:val="0"/>
        <w:spacing w:after="0" w:line="240" w:lineRule="auto"/>
        <w:jc w:val="both"/>
      </w:pPr>
      <w:r w:rsidRPr="008810AC">
        <w:rPr>
          <w:rFonts w:cs="Calibri"/>
        </w:rPr>
        <w:t>→</w:t>
      </w:r>
      <w:r w:rsidRPr="008810AC">
        <w:t xml:space="preserve"> </w:t>
      </w:r>
      <w:r w:rsidR="00350115" w:rsidRPr="00350115">
        <w:rPr>
          <w:b/>
        </w:rPr>
        <w:t>N</w:t>
      </w:r>
      <w:r w:rsidRPr="00350115">
        <w:rPr>
          <w:b/>
        </w:rPr>
        <w:t>on éligibles</w:t>
      </w:r>
      <w:r w:rsidRPr="008810AC">
        <w:t xml:space="preserve"> (exemple</w:t>
      </w:r>
      <w:r w:rsidR="00350115">
        <w:t>s</w:t>
      </w:r>
      <w:r w:rsidRPr="008810AC">
        <w:t>) :</w:t>
      </w:r>
    </w:p>
    <w:p w:rsidR="00A676BE" w:rsidRPr="008810AC" w:rsidRDefault="00A676BE" w:rsidP="008810AC">
      <w:pPr>
        <w:autoSpaceDE w:val="0"/>
        <w:autoSpaceDN w:val="0"/>
        <w:adjustRightInd w:val="0"/>
        <w:spacing w:after="0" w:line="240" w:lineRule="auto"/>
        <w:jc w:val="both"/>
      </w:pPr>
    </w:p>
    <w:p w:rsidR="00CD00C3"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individuelles</w:t>
      </w:r>
      <w:r w:rsidR="00CD00C3" w:rsidRPr="008810AC">
        <w:rPr>
          <w:rFonts w:cs="Calibri"/>
          <w:lang w:eastAsia="fr-FR"/>
        </w:rPr>
        <w:t xml:space="preserve"> telles que les entretiens indi</w:t>
      </w:r>
      <w:r w:rsidR="00B5495A" w:rsidRPr="008810AC">
        <w:rPr>
          <w:rFonts w:cs="Calibri"/>
          <w:lang w:eastAsia="fr-FR"/>
        </w:rPr>
        <w:t>v</w:t>
      </w:r>
      <w:r w:rsidR="00CD00C3" w:rsidRPr="008810AC">
        <w:rPr>
          <w:rFonts w:cs="Calibri"/>
          <w:lang w:eastAsia="fr-FR"/>
        </w:rPr>
        <w:t>iduels, consultations, bilans, et actes réalisés par les</w:t>
      </w:r>
      <w:r w:rsidR="00FE3398" w:rsidRPr="008810AC">
        <w:rPr>
          <w:rFonts w:cs="Calibri"/>
          <w:lang w:eastAsia="fr-FR"/>
        </w:rPr>
        <w:t xml:space="preserve"> </w:t>
      </w:r>
      <w:r w:rsidR="00CD00C3" w:rsidRPr="008810AC">
        <w:rPr>
          <w:rFonts w:cs="Calibri"/>
          <w:lang w:eastAsia="fr-FR"/>
        </w:rPr>
        <w:t>professionnels de santé</w:t>
      </w:r>
      <w:r w:rsidRPr="008810AC">
        <w:rPr>
          <w:rFonts w:cs="Calibri"/>
          <w:lang w:eastAsia="fr-FR"/>
        </w:rPr>
        <w:t>,</w:t>
      </w:r>
    </w:p>
    <w:p w:rsidR="00FE3398" w:rsidRPr="008810AC"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réunions festives et sorties diverses, journées portes ouvertes, visite de structures,</w:t>
      </w:r>
    </w:p>
    <w:p w:rsidR="00A676BE"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proofErr w:type="gramStart"/>
      <w:r w:rsidRPr="008810AC">
        <w:rPr>
          <w:rFonts w:cs="Calibri"/>
          <w:lang w:eastAsia="fr-FR"/>
        </w:rPr>
        <w:t>maraudes</w:t>
      </w:r>
      <w:proofErr w:type="gramEnd"/>
      <w:r w:rsidRPr="008810AC">
        <w:rPr>
          <w:rFonts w:cs="Calibri"/>
          <w:lang w:eastAsia="fr-FR"/>
        </w:rPr>
        <w:t>,</w:t>
      </w:r>
      <w:r w:rsidR="00521879" w:rsidRPr="008810AC">
        <w:rPr>
          <w:rFonts w:cs="Calibri"/>
          <w:lang w:eastAsia="fr-FR"/>
        </w:rPr>
        <w:t xml:space="preserve"> </w:t>
      </w:r>
    </w:p>
    <w:p w:rsidR="00A676BE"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de communication</w:t>
      </w:r>
      <w:r w:rsidR="00A676BE" w:rsidRPr="008810AC">
        <w:rPr>
          <w:rFonts w:cs="Calibri"/>
          <w:lang w:eastAsia="fr-FR"/>
        </w:rPr>
        <w:t>,</w:t>
      </w:r>
    </w:p>
    <w:p w:rsidR="00A676BE" w:rsidRPr="008810AC" w:rsidRDefault="00A676BE"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w:t>
      </w:r>
      <w:r w:rsidR="00521879" w:rsidRPr="008810AC">
        <w:rPr>
          <w:rFonts w:cs="Calibri"/>
          <w:lang w:eastAsia="fr-FR"/>
        </w:rPr>
        <w:t>e dépistage</w:t>
      </w:r>
      <w:r w:rsidRPr="008810AC">
        <w:rPr>
          <w:rFonts w:cs="Calibri"/>
          <w:lang w:eastAsia="fr-FR"/>
        </w:rPr>
        <w:t>,</w:t>
      </w:r>
    </w:p>
    <w:p w:rsidR="00075E90" w:rsidRPr="008810AC" w:rsidRDefault="00075E9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envois d’e-mails ou SMS</w:t>
      </w:r>
      <w:r w:rsidR="003A4D1A" w:rsidRPr="008810AC">
        <w:rPr>
          <w:rFonts w:cs="Calibri"/>
          <w:lang w:eastAsia="fr-FR"/>
        </w:rPr>
        <w:t>,</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activités de recherche, réalisation d’études d’observation,</w:t>
      </w:r>
    </w:p>
    <w:p w:rsidR="00DD50E0" w:rsidRPr="008810AC" w:rsidRDefault="002725FB"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 xml:space="preserve">actions de </w:t>
      </w:r>
      <w:r w:rsidR="00DD50E0" w:rsidRPr="008810AC">
        <w:rPr>
          <w:rFonts w:cs="Calibri"/>
          <w:lang w:eastAsia="fr-FR"/>
        </w:rPr>
        <w:t>construction de</w:t>
      </w:r>
      <w:r w:rsidR="00FE3398" w:rsidRPr="008810AC">
        <w:rPr>
          <w:rFonts w:cs="Calibri"/>
          <w:lang w:eastAsia="fr-FR"/>
        </w:rPr>
        <w:t xml:space="preserve"> </w:t>
      </w:r>
      <w:r w:rsidR="00DD50E0" w:rsidRPr="008810AC">
        <w:rPr>
          <w:rFonts w:cs="Calibri"/>
          <w:lang w:eastAsia="fr-FR"/>
        </w:rPr>
        <w:t>partenariats,</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création, mise à jour, duplication d’outils inhérents à l’activité de la structure ou dédiés à une action en particulier,</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portées par les mutuelles,</w:t>
      </w:r>
    </w:p>
    <w:p w:rsidR="00D97677"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qui relèvent des missions d’autres structures telles que les actions réalisées en milieu scolaire sans ciblage du public prioritaire et qui interviennent en</w:t>
      </w:r>
      <w:r w:rsidR="00B5495A" w:rsidRPr="008810AC">
        <w:rPr>
          <w:rFonts w:cs="Calibri"/>
          <w:lang w:eastAsia="fr-FR"/>
        </w:rPr>
        <w:t xml:space="preserve"> </w:t>
      </w:r>
      <w:r w:rsidRPr="008810AC">
        <w:rPr>
          <w:rFonts w:cs="Calibri"/>
          <w:lang w:eastAsia="fr-FR"/>
        </w:rPr>
        <w:t>lieu et place des actions qui relèvent des missions de l’Educ</w:t>
      </w:r>
      <w:r w:rsidR="00B5495A" w:rsidRPr="008810AC">
        <w:rPr>
          <w:rFonts w:cs="Calibri"/>
          <w:lang w:eastAsia="fr-FR"/>
        </w:rPr>
        <w:t>a</w:t>
      </w:r>
      <w:r w:rsidRPr="008810AC">
        <w:rPr>
          <w:rFonts w:cs="Calibri"/>
          <w:lang w:eastAsia="fr-FR"/>
        </w:rPr>
        <w:t xml:space="preserve">tion Nationale, </w:t>
      </w:r>
    </w:p>
    <w:p w:rsidR="00DD50E0"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liées au fonctionnement des structures comme la tenue de permanences, mise en place/tenue d’accueils, unités mobiles,</w:t>
      </w:r>
    </w:p>
    <w:p w:rsidR="00D1744D" w:rsidRDefault="00D1744D"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 xml:space="preserve">actions mises en œuvre par une MSP qui relèvent des missions </w:t>
      </w:r>
      <w:r w:rsidRPr="00F43CB6">
        <w:rPr>
          <w:rFonts w:cs="Calibri"/>
        </w:rPr>
        <w:t>de santé publique prévues dans le cadre de</w:t>
      </w:r>
      <w:r>
        <w:rPr>
          <w:rFonts w:cs="Calibri"/>
        </w:rPr>
        <w:t xml:space="preserve"> </w:t>
      </w:r>
      <w:r w:rsidRPr="00F43CB6">
        <w:rPr>
          <w:rFonts w:cs="Calibri"/>
        </w:rPr>
        <w:t>l’A</w:t>
      </w:r>
      <w:r>
        <w:rPr>
          <w:rFonts w:cs="Calibri"/>
        </w:rPr>
        <w:t xml:space="preserve">ccord </w:t>
      </w:r>
      <w:r w:rsidRPr="00F43CB6">
        <w:rPr>
          <w:rFonts w:cs="Calibri"/>
        </w:rPr>
        <w:t>C</w:t>
      </w:r>
      <w:r>
        <w:rPr>
          <w:rFonts w:cs="Calibri"/>
        </w:rPr>
        <w:t xml:space="preserve">onventionnel </w:t>
      </w:r>
      <w:r w:rsidRPr="00F43CB6">
        <w:rPr>
          <w:rFonts w:cs="Calibri"/>
        </w:rPr>
        <w:t>I</w:t>
      </w:r>
      <w:r>
        <w:rPr>
          <w:rFonts w:cs="Calibri"/>
        </w:rPr>
        <w:t>nterprofessionnel</w:t>
      </w:r>
      <w:r w:rsidRPr="00F43CB6">
        <w:rPr>
          <w:rFonts w:cs="Calibri"/>
        </w:rPr>
        <w:t xml:space="preserve"> </w:t>
      </w:r>
      <w:r w:rsidRPr="00DA1C8C">
        <w:rPr>
          <w:rFonts w:cs="Calibri"/>
        </w:rPr>
        <w:t>Maison de Santé</w:t>
      </w:r>
      <w:r>
        <w:rPr>
          <w:rFonts w:cs="Calibri"/>
        </w:rPr>
        <w:t xml:space="preserve"> </w:t>
      </w:r>
      <w:r w:rsidRPr="00DA1C8C">
        <w:rPr>
          <w:rFonts w:cs="Calibri"/>
        </w:rPr>
        <w:t xml:space="preserve"> </w:t>
      </w:r>
      <w:proofErr w:type="spellStart"/>
      <w:r w:rsidRPr="00DA1C8C">
        <w:rPr>
          <w:rFonts w:cs="Calibri"/>
        </w:rPr>
        <w:t>Pluriprofessionnelle</w:t>
      </w:r>
      <w:proofErr w:type="spellEnd"/>
      <w:r w:rsidRPr="00DA1C8C">
        <w:rPr>
          <w:rFonts w:cs="Calibri"/>
        </w:rPr>
        <w:t xml:space="preserv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w:t>
      </w:r>
      <w:r>
        <w:rPr>
          <w:rFonts w:cs="Calibri"/>
        </w:rPr>
        <w:t xml:space="preserve"> de précarité,</w:t>
      </w:r>
    </w:p>
    <w:p w:rsidR="00D1744D" w:rsidRPr="00D1744D" w:rsidRDefault="00D1744D" w:rsidP="00D1744D">
      <w:pPr>
        <w:pStyle w:val="Paragraphedeliste"/>
        <w:numPr>
          <w:ilvl w:val="0"/>
          <w:numId w:val="73"/>
        </w:numPr>
        <w:autoSpaceDE w:val="0"/>
        <w:autoSpaceDN w:val="0"/>
        <w:adjustRightInd w:val="0"/>
        <w:spacing w:after="0" w:line="240" w:lineRule="auto"/>
        <w:jc w:val="both"/>
        <w:rPr>
          <w:rFonts w:cs="Calibri"/>
          <w:lang w:eastAsia="fr-FR"/>
        </w:rPr>
      </w:pPr>
      <w:r>
        <w:rPr>
          <w:rFonts w:cs="Calibri"/>
        </w:rPr>
        <w:t xml:space="preserve">actions de prévention déjà financées concernant les </w:t>
      </w:r>
      <w:r w:rsidRPr="00DA1C8C">
        <w:rPr>
          <w:rFonts w:cs="Calibri"/>
          <w:iCs/>
        </w:rPr>
        <w:t>Communautés Professionnelles Territoriales de Santé</w:t>
      </w:r>
      <w:r w:rsidRPr="00DA1C8C">
        <w:rPr>
          <w:rFonts w:cs="Calibri"/>
        </w:rPr>
        <w:t xml:space="preserve"> (</w:t>
      </w:r>
      <w:r w:rsidRPr="00DA1C8C">
        <w:rPr>
          <w:rFonts w:cs="Calibri"/>
          <w:iCs/>
        </w:rPr>
        <w:t>CPTS</w:t>
      </w:r>
      <w:r>
        <w:rPr>
          <w:rFonts w:cs="Calibri"/>
          <w:iCs/>
        </w:rPr>
        <w:t>),</w:t>
      </w:r>
    </w:p>
    <w:p w:rsidR="00FE3398"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sur des thématiques insuffisamment recentrées autour des thèmes prioritaires (ex</w:t>
      </w:r>
      <w:r w:rsidR="009A4483">
        <w:rPr>
          <w:rFonts w:cs="Calibri"/>
          <w:lang w:eastAsia="fr-FR"/>
        </w:rPr>
        <w:t xml:space="preserve"> d’exclusion</w:t>
      </w:r>
      <w:r w:rsidRPr="008810AC">
        <w:rPr>
          <w:rFonts w:cs="Calibri"/>
          <w:lang w:eastAsia="fr-FR"/>
        </w:rPr>
        <w:t> : violences conjugales, bien être, éducation à la vie, hygiène, relaxation, etc…).</w:t>
      </w:r>
    </w:p>
    <w:p w:rsidR="00350115" w:rsidRPr="008810AC" w:rsidRDefault="00350115" w:rsidP="00350115">
      <w:pPr>
        <w:pStyle w:val="Paragraphedeliste"/>
        <w:autoSpaceDE w:val="0"/>
        <w:autoSpaceDN w:val="0"/>
        <w:adjustRightInd w:val="0"/>
        <w:spacing w:after="0" w:line="240" w:lineRule="auto"/>
        <w:ind w:left="720"/>
        <w:jc w:val="both"/>
        <w:rPr>
          <w:rFonts w:cs="Calibri"/>
          <w:lang w:eastAsia="fr-FR"/>
        </w:rPr>
      </w:pPr>
    </w:p>
    <w:p w:rsidR="002779A4" w:rsidRPr="00527093" w:rsidRDefault="002779A4"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B5495A">
        <w:rPr>
          <w:rFonts w:eastAsia="Times New Roman"/>
          <w:caps/>
          <w:color w:val="243F60"/>
          <w:spacing w:val="15"/>
          <w:lang w:eastAsia="fr-FR"/>
        </w:rPr>
        <w:t xml:space="preserve">lieux de realisation des actions </w:t>
      </w:r>
      <w:r w:rsidR="00D747C1" w:rsidRPr="00B5495A">
        <w:rPr>
          <w:rFonts w:eastAsia="Times New Roman"/>
          <w:caps/>
          <w:color w:val="243F60"/>
          <w:spacing w:val="15"/>
          <w:lang w:eastAsia="fr-FR"/>
        </w:rPr>
        <w:t>a mettre en place</w:t>
      </w:r>
    </w:p>
    <w:p w:rsidR="002779A4" w:rsidRPr="00527093" w:rsidRDefault="002779A4" w:rsidP="00350115">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rsidR="00FF77EA" w:rsidRPr="00527093" w:rsidRDefault="00FF77EA" w:rsidP="00350115">
      <w:pPr>
        <w:autoSpaceDE w:val="0"/>
        <w:autoSpaceDN w:val="0"/>
        <w:adjustRightInd w:val="0"/>
        <w:spacing w:after="0" w:line="240" w:lineRule="auto"/>
        <w:jc w:val="both"/>
        <w:rPr>
          <w:rFonts w:cs="Calibri"/>
          <w:lang w:eastAsia="fr-FR"/>
        </w:rPr>
      </w:pPr>
    </w:p>
    <w:p w:rsidR="002779A4" w:rsidRPr="0073763E" w:rsidRDefault="002779A4" w:rsidP="00350115">
      <w:pPr>
        <w:numPr>
          <w:ilvl w:val="0"/>
          <w:numId w:val="68"/>
        </w:numPr>
        <w:spacing w:after="0" w:line="240" w:lineRule="auto"/>
        <w:jc w:val="both"/>
        <w:rPr>
          <w:rFonts w:cs="Calibri"/>
        </w:rPr>
      </w:pPr>
      <w:r w:rsidRPr="0073763E">
        <w:rPr>
          <w:rFonts w:cs="Calibri"/>
        </w:rPr>
        <w:t xml:space="preserve">Structures accueillant </w:t>
      </w:r>
      <w:r w:rsidR="009A4483">
        <w:rPr>
          <w:rFonts w:cs="Calibri"/>
        </w:rPr>
        <w:t>l</w:t>
      </w:r>
      <w:r w:rsidRPr="0073763E">
        <w:rPr>
          <w:rFonts w:cs="Calibri"/>
        </w:rPr>
        <w:t>es publics cibles</w:t>
      </w:r>
      <w:r w:rsidR="00A54491">
        <w:rPr>
          <w:rFonts w:cs="Calibri"/>
        </w:rPr>
        <w:t> ;</w:t>
      </w:r>
    </w:p>
    <w:p w:rsidR="002779A4" w:rsidRPr="0073763E" w:rsidRDefault="002779A4" w:rsidP="00350115">
      <w:pPr>
        <w:numPr>
          <w:ilvl w:val="0"/>
          <w:numId w:val="68"/>
        </w:numPr>
        <w:spacing w:after="0" w:line="240" w:lineRule="auto"/>
        <w:jc w:val="both"/>
        <w:rPr>
          <w:rFonts w:cs="Calibri"/>
        </w:rPr>
      </w:pPr>
      <w:r w:rsidRPr="0073763E">
        <w:rPr>
          <w:rFonts w:cs="Calibri"/>
        </w:rPr>
        <w:t>Structures accueillant des publics vulnérables</w:t>
      </w:r>
      <w:r w:rsidR="00A54491">
        <w:rPr>
          <w:rFonts w:cs="Calibri"/>
        </w:rPr>
        <w:t> ;</w:t>
      </w:r>
      <w:r w:rsidRPr="0073763E">
        <w:rPr>
          <w:rFonts w:cs="Calibri"/>
        </w:rPr>
        <w:t xml:space="preserve"> </w:t>
      </w:r>
    </w:p>
    <w:p w:rsidR="002779A4" w:rsidRPr="0073763E" w:rsidRDefault="002779A4" w:rsidP="00350115">
      <w:pPr>
        <w:pStyle w:val="Paragraphedeliste"/>
        <w:numPr>
          <w:ilvl w:val="0"/>
          <w:numId w:val="68"/>
        </w:numPr>
        <w:spacing w:after="0" w:line="240" w:lineRule="auto"/>
        <w:contextualSpacing/>
        <w:jc w:val="both"/>
        <w:rPr>
          <w:rFonts w:cs="Calibri"/>
        </w:rPr>
      </w:pPr>
      <w:r w:rsidRPr="0073763E">
        <w:rPr>
          <w:rFonts w:cs="Calibri"/>
        </w:rPr>
        <w:t>Collectivités locales ou territoriales, lieux accueillant du public... ;</w:t>
      </w:r>
    </w:p>
    <w:p w:rsidR="002779A4" w:rsidRPr="0073763E" w:rsidRDefault="002779A4" w:rsidP="00350115">
      <w:pPr>
        <w:numPr>
          <w:ilvl w:val="0"/>
          <w:numId w:val="68"/>
        </w:numPr>
        <w:contextualSpacing/>
        <w:jc w:val="both"/>
        <w:rPr>
          <w:rFonts w:cs="Calibri"/>
        </w:rPr>
      </w:pPr>
      <w:r w:rsidRPr="0073763E">
        <w:rPr>
          <w:rFonts w:cs="Calibri"/>
        </w:rPr>
        <w:t>Services de santé, services hospitaliers</w:t>
      </w:r>
      <w:r w:rsidR="00A54491">
        <w:rPr>
          <w:rFonts w:cs="Calibri"/>
        </w:rPr>
        <w:t xml:space="preserve"> </w:t>
      </w:r>
      <w:r w:rsidRPr="0073763E">
        <w:rPr>
          <w:rFonts w:cs="Calibri"/>
        </w:rPr>
        <w:t>;</w:t>
      </w:r>
    </w:p>
    <w:p w:rsidR="002779A4" w:rsidRPr="0073763E" w:rsidRDefault="002779A4" w:rsidP="00350115">
      <w:pPr>
        <w:numPr>
          <w:ilvl w:val="0"/>
          <w:numId w:val="68"/>
        </w:numPr>
        <w:contextualSpacing/>
        <w:jc w:val="both"/>
        <w:rPr>
          <w:rFonts w:cs="Calibri"/>
        </w:rPr>
      </w:pPr>
      <w:r w:rsidRPr="0073763E">
        <w:rPr>
          <w:rFonts w:cs="Calibri"/>
        </w:rPr>
        <w:t>Dispositifs d’hébergements</w:t>
      </w:r>
      <w:r w:rsidR="00A54491">
        <w:rPr>
          <w:rFonts w:cs="Calibri"/>
        </w:rPr>
        <w:t xml:space="preserve"> </w:t>
      </w:r>
      <w:r w:rsidRPr="0073763E">
        <w:rPr>
          <w:rFonts w:cs="Calibri"/>
        </w:rPr>
        <w:t>;</w:t>
      </w:r>
      <w:r>
        <w:rPr>
          <w:rFonts w:cs="Calibri"/>
        </w:rPr>
        <w:t xml:space="preserve"> </w:t>
      </w:r>
    </w:p>
    <w:p w:rsidR="002779A4" w:rsidRPr="0073763E" w:rsidRDefault="002779A4" w:rsidP="00350115">
      <w:pPr>
        <w:numPr>
          <w:ilvl w:val="0"/>
          <w:numId w:val="68"/>
        </w:numPr>
        <w:contextualSpacing/>
        <w:jc w:val="both"/>
        <w:rPr>
          <w:rFonts w:cs="Calibri"/>
        </w:rPr>
      </w:pPr>
      <w:r w:rsidRPr="0073763E">
        <w:rPr>
          <w:rFonts w:cs="Calibri"/>
        </w:rPr>
        <w:lastRenderedPageBreak/>
        <w:t>Etablissements médico s</w:t>
      </w:r>
      <w:r>
        <w:rPr>
          <w:rFonts w:cs="Calibri"/>
        </w:rPr>
        <w:t>ociaux,</w:t>
      </w:r>
      <w:r w:rsidRPr="0073763E">
        <w:rPr>
          <w:rFonts w:cs="Calibri"/>
        </w:rPr>
        <w:t xml:space="preserve"> établissement pour personnes handicapées… ;</w:t>
      </w:r>
    </w:p>
    <w:p w:rsidR="002779A4" w:rsidRPr="0073763E" w:rsidRDefault="002779A4" w:rsidP="00350115">
      <w:pPr>
        <w:numPr>
          <w:ilvl w:val="0"/>
          <w:numId w:val="68"/>
        </w:numPr>
        <w:spacing w:after="0" w:line="240" w:lineRule="auto"/>
        <w:jc w:val="both"/>
        <w:rPr>
          <w:rFonts w:cs="Calibri"/>
        </w:rPr>
      </w:pPr>
      <w:r>
        <w:rPr>
          <w:rFonts w:cs="Calibri"/>
        </w:rPr>
        <w:t xml:space="preserve">Associations ; </w:t>
      </w:r>
    </w:p>
    <w:p w:rsidR="002779A4" w:rsidRPr="0073763E" w:rsidRDefault="002779A4" w:rsidP="00350115">
      <w:pPr>
        <w:numPr>
          <w:ilvl w:val="0"/>
          <w:numId w:val="68"/>
        </w:numPr>
        <w:spacing w:after="0" w:line="240" w:lineRule="auto"/>
        <w:jc w:val="both"/>
        <w:rPr>
          <w:rFonts w:cs="Calibri"/>
        </w:rPr>
      </w:pPr>
      <w:r w:rsidRPr="0073763E">
        <w:rPr>
          <w:rFonts w:cs="Calibri"/>
        </w:rPr>
        <w:t>etc…</w:t>
      </w:r>
    </w:p>
    <w:p w:rsidR="000420E4" w:rsidRDefault="000420E4" w:rsidP="00350115">
      <w:pPr>
        <w:spacing w:after="0" w:line="240" w:lineRule="auto"/>
        <w:ind w:right="260"/>
        <w:jc w:val="both"/>
      </w:pPr>
    </w:p>
    <w:p w:rsidR="00B95218" w:rsidRDefault="00B95218" w:rsidP="00350115">
      <w:pPr>
        <w:autoSpaceDE w:val="0"/>
        <w:autoSpaceDN w:val="0"/>
        <w:adjustRightInd w:val="0"/>
        <w:spacing w:after="0"/>
        <w:jc w:val="both"/>
      </w:pPr>
      <w:r>
        <w:t>Les actions de proximité sur les lieux de vie sont à prioriser</w:t>
      </w:r>
      <w:r w:rsidR="00767609">
        <w:t>.</w:t>
      </w:r>
    </w:p>
    <w:p w:rsidR="00350115" w:rsidRDefault="00350115" w:rsidP="00350115">
      <w:pPr>
        <w:autoSpaceDE w:val="0"/>
        <w:autoSpaceDN w:val="0"/>
        <w:adjustRightInd w:val="0"/>
        <w:spacing w:after="0"/>
        <w:jc w:val="both"/>
      </w:pPr>
    </w:p>
    <w:p w:rsidR="00F34E0A" w:rsidRPr="00F34E0A" w:rsidRDefault="00F34E0A" w:rsidP="00F34E0A">
      <w:pPr>
        <w:pStyle w:val="Style1"/>
        <w:contextualSpacing/>
        <w:rPr>
          <w:caps w:val="0"/>
          <w:sz w:val="22"/>
          <w:szCs w:val="22"/>
        </w:rPr>
      </w:pPr>
      <w:r w:rsidRPr="00F34E0A">
        <w:rPr>
          <w:sz w:val="22"/>
          <w:szCs w:val="22"/>
        </w:rPr>
        <w:t>Utilisation des outils de communication nationaux EXISTANTS</w:t>
      </w:r>
    </w:p>
    <w:p w:rsidR="00196F09" w:rsidRDefault="00F34E0A" w:rsidP="00196F09">
      <w:pPr>
        <w:spacing w:after="0" w:line="240" w:lineRule="auto"/>
        <w:jc w:val="both"/>
      </w:pPr>
      <w:r>
        <w:rPr>
          <w:b/>
        </w:rPr>
        <w:t>Afin de ne pas apporter de confusion dans la priorisation et le contenu des messages, l</w:t>
      </w:r>
      <w:r w:rsidRPr="002538D4">
        <w:rPr>
          <w:b/>
        </w:rPr>
        <w:t>es actions en lien avec le thème de la contraception</w:t>
      </w:r>
      <w:r w:rsidRPr="000242E5">
        <w:t xml:space="preserve"> devront s’appuyer sur les documents élaborés au niveau national sur le parcours contraceptif </w:t>
      </w:r>
      <w:r w:rsidRPr="00145A6F">
        <w:t>(</w:t>
      </w:r>
      <w:r w:rsidR="000C55C8">
        <w:t xml:space="preserve">affiches et flyers </w:t>
      </w:r>
      <w:r w:rsidRPr="003E4C8E">
        <w:t>Assurance Maladie</w:t>
      </w:r>
      <w:r w:rsidRPr="000242E5">
        <w:t xml:space="preserve">) et renvoyer au site </w:t>
      </w:r>
      <w:r w:rsidR="00196F09" w:rsidRPr="000242E5">
        <w:t>internet</w:t>
      </w:r>
      <w:r w:rsidR="00196F09">
        <w:t> :</w:t>
      </w:r>
      <w:r w:rsidR="00196F09" w:rsidRPr="00196F09">
        <w:t xml:space="preserve"> </w:t>
      </w:r>
      <w:hyperlink r:id="rId9" w:history="1">
        <w:r w:rsidR="00196F09" w:rsidRPr="00F06BAA">
          <w:rPr>
            <w:rStyle w:val="Lienhypertexte"/>
          </w:rPr>
          <w:t>https://www.onsexprime.fr/</w:t>
        </w:r>
      </w:hyperlink>
      <w:r w:rsidR="00196F09">
        <w:t xml:space="preserve"> </w:t>
      </w:r>
    </w:p>
    <w:p w:rsidR="00F34E0A" w:rsidRPr="00196F09" w:rsidRDefault="000C55C8" w:rsidP="00196F09">
      <w:pPr>
        <w:spacing w:after="0" w:line="240" w:lineRule="auto"/>
        <w:jc w:val="both"/>
        <w:rPr>
          <w:sz w:val="20"/>
        </w:rPr>
      </w:pPr>
      <w:r>
        <w:t xml:space="preserve">  </w:t>
      </w:r>
      <w:r w:rsidR="00F34E0A" w:rsidRPr="000242E5">
        <w:t xml:space="preserve"> </w:t>
      </w:r>
    </w:p>
    <w:p w:rsidR="00F34E0A" w:rsidRPr="00145A6F" w:rsidRDefault="00F34E0A" w:rsidP="00350115">
      <w:pPr>
        <w:spacing w:before="60" w:after="0" w:line="240" w:lineRule="auto"/>
        <w:jc w:val="both"/>
      </w:pPr>
      <w:r w:rsidRPr="00145A6F">
        <w:t xml:space="preserve">Les actions sur la contraception d’urgence devront utiliser les documents réalisés par la </w:t>
      </w:r>
      <w:proofErr w:type="spellStart"/>
      <w:r>
        <w:t>Cnam</w:t>
      </w:r>
      <w:proofErr w:type="spellEnd"/>
      <w:r w:rsidRPr="00145A6F">
        <w:t xml:space="preserve"> et le CESPHARM, notamment l</w:t>
      </w:r>
      <w:r>
        <w:t>es brochures et l</w:t>
      </w:r>
      <w:r w:rsidRPr="00145A6F">
        <w:t xml:space="preserve">a </w:t>
      </w:r>
      <w:hyperlink r:id="rId10" w:history="1">
        <w:r w:rsidRPr="000C55C8">
          <w:rPr>
            <w:rStyle w:val="Lienhypertexte"/>
            <w:color w:val="002060"/>
          </w:rPr>
          <w:t>carte d’information</w:t>
        </w:r>
      </w:hyperlink>
      <w:r w:rsidRPr="000C55C8">
        <w:rPr>
          <w:color w:val="002060"/>
          <w:u w:val="single"/>
        </w:rPr>
        <w:t xml:space="preserve"> </w:t>
      </w:r>
      <w:r w:rsidRPr="00145A6F">
        <w:t xml:space="preserve">à destination des jeunes. </w:t>
      </w:r>
    </w:p>
    <w:p w:rsidR="00F34E0A" w:rsidRPr="00283BD1" w:rsidRDefault="00F34E0A" w:rsidP="00350115">
      <w:pPr>
        <w:spacing w:before="60" w:after="0" w:line="240" w:lineRule="auto"/>
        <w:jc w:val="both"/>
      </w:pPr>
      <w:r>
        <w:t>Par ailleurs</w:t>
      </w:r>
      <w:r w:rsidRPr="000242E5">
        <w:t xml:space="preserve">, le site internet de Santé </w:t>
      </w:r>
      <w:r>
        <w:t>p</w:t>
      </w:r>
      <w:r w:rsidRPr="000242E5">
        <w:t>ublique France propose d</w:t>
      </w:r>
      <w:r w:rsidRPr="00283BD1">
        <w:t>es documents d’information</w:t>
      </w:r>
      <w:r>
        <w:t xml:space="preserve"> et des outils validés au niveau national aux  rubriques « Santé sexuelle », « Hépatites » et « Sida ». Il est également possible de renvoyer au</w:t>
      </w:r>
      <w:r w:rsidR="00FE4B16">
        <w:t>x</w:t>
      </w:r>
      <w:r>
        <w:t xml:space="preserve"> site</w:t>
      </w:r>
      <w:r w:rsidR="00FE4B16">
        <w:t>s</w:t>
      </w:r>
      <w:r>
        <w:t xml:space="preserve"> internet</w:t>
      </w:r>
      <w:r w:rsidR="00196F09">
        <w:t xml:space="preserve">  </w:t>
      </w:r>
      <w:hyperlink r:id="rId11" w:history="1">
        <w:r w:rsidR="00196F09" w:rsidRPr="00F06BAA">
          <w:rPr>
            <w:rStyle w:val="Lienhypertexte"/>
          </w:rPr>
          <w:t>https://questionsexualite.fr/</w:t>
        </w:r>
      </w:hyperlink>
      <w:r w:rsidR="00196F09">
        <w:t xml:space="preserve"> </w:t>
      </w:r>
      <w:r w:rsidR="00FE4B16">
        <w:t xml:space="preserve">et </w:t>
      </w:r>
      <w:hyperlink r:id="rId12" w:history="1">
        <w:r w:rsidRPr="00FC4709">
          <w:rPr>
            <w:rStyle w:val="Lienhypertexte"/>
          </w:rPr>
          <w:t>www.onsexprime.fr</w:t>
        </w:r>
      </w:hyperlink>
      <w:r>
        <w:t>.</w:t>
      </w:r>
    </w:p>
    <w:p w:rsidR="00A54491" w:rsidRDefault="00A54491" w:rsidP="004B3D98">
      <w:pPr>
        <w:spacing w:after="0" w:line="240" w:lineRule="auto"/>
        <w:ind w:right="260"/>
        <w:jc w:val="both"/>
      </w:pPr>
    </w:p>
    <w:p w:rsidR="00965199" w:rsidRPr="00B5495A" w:rsidRDefault="00965199"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B5495A">
        <w:rPr>
          <w:rFonts w:eastAsia="Times New Roman"/>
          <w:caps/>
          <w:color w:val="243F60"/>
          <w:spacing w:val="15"/>
          <w:lang w:eastAsia="fr-FR"/>
        </w:rPr>
        <w:t>calendrier des actions</w:t>
      </w:r>
      <w:r w:rsidR="005015A7">
        <w:rPr>
          <w:rFonts w:eastAsia="Times New Roman"/>
          <w:caps/>
          <w:color w:val="243F60"/>
          <w:spacing w:val="15"/>
          <w:lang w:eastAsia="fr-FR"/>
        </w:rPr>
        <w:t xml:space="preserve"> a mettre en place</w:t>
      </w:r>
      <w:r w:rsidRPr="00B5495A">
        <w:rPr>
          <w:rFonts w:eastAsia="Times New Roman"/>
          <w:caps/>
          <w:color w:val="243F60"/>
          <w:spacing w:val="15"/>
          <w:lang w:eastAsia="fr-FR"/>
        </w:rPr>
        <w:t xml:space="preserve"> </w:t>
      </w:r>
    </w:p>
    <w:p w:rsidR="003B640B" w:rsidRPr="00350115" w:rsidRDefault="00197597" w:rsidP="00F34E0A">
      <w:pPr>
        <w:autoSpaceDE w:val="0"/>
        <w:autoSpaceDN w:val="0"/>
        <w:adjustRightInd w:val="0"/>
        <w:spacing w:after="0" w:line="240" w:lineRule="auto"/>
        <w:jc w:val="both"/>
        <w:rPr>
          <w:rFonts w:cs="Calibri"/>
          <w:b/>
          <w:lang w:eastAsia="fr-FR"/>
        </w:rPr>
      </w:pPr>
      <w:r w:rsidRPr="00350115">
        <w:rPr>
          <w:rFonts w:cs="Calibri"/>
          <w:b/>
          <w:lang w:eastAsia="fr-FR"/>
        </w:rPr>
        <w:t>Les actions se déroulero</w:t>
      </w:r>
      <w:r w:rsidR="00965199" w:rsidRPr="00350115">
        <w:rPr>
          <w:rFonts w:cs="Calibri"/>
          <w:b/>
          <w:lang w:eastAsia="fr-FR"/>
        </w:rPr>
        <w:t>nt sur l’exercice 202</w:t>
      </w:r>
      <w:r w:rsidR="00767609" w:rsidRPr="00350115">
        <w:rPr>
          <w:rFonts w:cs="Calibri"/>
          <w:b/>
          <w:lang w:eastAsia="fr-FR"/>
        </w:rPr>
        <w:t>2</w:t>
      </w:r>
      <w:r w:rsidR="00965199" w:rsidRPr="00350115">
        <w:rPr>
          <w:rFonts w:cs="Calibri"/>
          <w:b/>
          <w:lang w:eastAsia="fr-FR"/>
        </w:rPr>
        <w:t xml:space="preserve">. </w:t>
      </w:r>
    </w:p>
    <w:p w:rsidR="003B640B" w:rsidRPr="00B5495A" w:rsidRDefault="003B640B" w:rsidP="00F34E0A">
      <w:pPr>
        <w:autoSpaceDE w:val="0"/>
        <w:autoSpaceDN w:val="0"/>
        <w:adjustRightInd w:val="0"/>
        <w:spacing w:after="0" w:line="240" w:lineRule="auto"/>
        <w:jc w:val="both"/>
        <w:rPr>
          <w:rFonts w:cs="Calibri"/>
          <w:lang w:eastAsia="fr-FR"/>
        </w:rPr>
      </w:pPr>
    </w:p>
    <w:p w:rsidR="00AF613F" w:rsidRDefault="00965199" w:rsidP="00F34E0A">
      <w:pPr>
        <w:autoSpaceDE w:val="0"/>
        <w:autoSpaceDN w:val="0"/>
        <w:adjustRightInd w:val="0"/>
        <w:spacing w:after="0" w:line="240" w:lineRule="auto"/>
        <w:jc w:val="both"/>
        <w:rPr>
          <w:rFonts w:cs="Calibri"/>
          <w:lang w:eastAsia="fr-FR"/>
        </w:rPr>
      </w:pPr>
      <w:r w:rsidRPr="00B5495A">
        <w:rPr>
          <w:rFonts w:cs="Calibri"/>
          <w:lang w:eastAsia="fr-FR"/>
        </w:rPr>
        <w:t xml:space="preserve">Les projets peuvent être réfléchis de façon pluriannuelle </w:t>
      </w:r>
      <w:r w:rsidR="008A0B0E" w:rsidRPr="00B5495A">
        <w:rPr>
          <w:rFonts w:cs="Calibri"/>
          <w:lang w:eastAsia="fr-FR"/>
        </w:rPr>
        <w:t xml:space="preserve">en vue </w:t>
      </w:r>
      <w:r w:rsidRPr="00B5495A">
        <w:rPr>
          <w:rFonts w:cs="Calibri"/>
          <w:lang w:eastAsia="fr-FR"/>
        </w:rPr>
        <w:t>d</w:t>
      </w:r>
      <w:r w:rsidR="00767609" w:rsidRPr="00B5495A">
        <w:rPr>
          <w:rFonts w:cs="Calibri"/>
          <w:lang w:eastAsia="fr-FR"/>
        </w:rPr>
        <w:t>’être reconduits</w:t>
      </w:r>
      <w:r w:rsidR="008A0B0E" w:rsidRPr="00B5495A">
        <w:rPr>
          <w:rFonts w:cs="Calibri"/>
          <w:lang w:eastAsia="fr-FR"/>
        </w:rPr>
        <w:t xml:space="preserve"> ou de développer des volets complémentaires lors des exercices ultérieurs</w:t>
      </w:r>
      <w:r w:rsidR="005E764A" w:rsidRPr="00B5495A">
        <w:rPr>
          <w:rFonts w:cs="Calibri"/>
          <w:lang w:eastAsia="fr-FR"/>
        </w:rPr>
        <w:t>,</w:t>
      </w:r>
      <w:r w:rsidR="008A0B0E" w:rsidRPr="00B5495A">
        <w:rPr>
          <w:rFonts w:cs="Calibri"/>
          <w:lang w:eastAsia="fr-FR"/>
        </w:rPr>
        <w:t xml:space="preserve"> lorsque les résultats s’avère</w:t>
      </w:r>
      <w:r w:rsidR="005E764A" w:rsidRPr="00B5495A">
        <w:rPr>
          <w:rFonts w:cs="Calibri"/>
          <w:lang w:eastAsia="fr-FR"/>
        </w:rPr>
        <w:t>ro</w:t>
      </w:r>
      <w:r w:rsidR="008A0B0E" w:rsidRPr="00B5495A">
        <w:rPr>
          <w:rFonts w:cs="Calibri"/>
          <w:lang w:eastAsia="fr-FR"/>
        </w:rPr>
        <w:t>nt probants</w:t>
      </w:r>
      <w:r w:rsidRPr="00B5495A">
        <w:rPr>
          <w:rFonts w:cs="Calibri"/>
          <w:lang w:eastAsia="fr-FR"/>
        </w:rPr>
        <w:t>.</w:t>
      </w:r>
    </w:p>
    <w:p w:rsidR="00AF613F" w:rsidRDefault="00AF613F" w:rsidP="00F34E0A">
      <w:pPr>
        <w:autoSpaceDE w:val="0"/>
        <w:autoSpaceDN w:val="0"/>
        <w:adjustRightInd w:val="0"/>
        <w:spacing w:after="0" w:line="240" w:lineRule="auto"/>
        <w:jc w:val="both"/>
        <w:rPr>
          <w:rFonts w:cs="Calibri"/>
          <w:lang w:eastAsia="fr-FR"/>
        </w:rPr>
      </w:pPr>
    </w:p>
    <w:p w:rsidR="00E7032B" w:rsidRPr="00253D8D" w:rsidRDefault="00AF613F" w:rsidP="00F34E0A">
      <w:pPr>
        <w:autoSpaceDE w:val="0"/>
        <w:autoSpaceDN w:val="0"/>
        <w:adjustRightInd w:val="0"/>
        <w:spacing w:after="0" w:line="240" w:lineRule="auto"/>
        <w:jc w:val="both"/>
        <w:rPr>
          <w:rFonts w:cs="Calibri"/>
          <w:szCs w:val="24"/>
        </w:rPr>
      </w:pPr>
      <w:r>
        <w:rPr>
          <w:rFonts w:cs="Calibri"/>
          <w:lang w:eastAsia="fr-FR"/>
        </w:rPr>
        <w:t xml:space="preserve">Toutefois, </w:t>
      </w:r>
      <w:r w:rsidR="00E7032B">
        <w:rPr>
          <w:rFonts w:cs="Calibri"/>
          <w:lang w:eastAsia="fr-FR"/>
        </w:rPr>
        <w:t>l</w:t>
      </w:r>
      <w:r w:rsidR="00E7032B">
        <w:rPr>
          <w:rFonts w:cs="Calibri"/>
          <w:szCs w:val="24"/>
        </w:rPr>
        <w:t xml:space="preserve">’année 2022 étant la dernière année de fonctionnement de la COG en cours, les appels à projets sur le FNPEIS ne concerneront que les actions se déroulant sur l’exercice civil 2022. Aucun engagement de la </w:t>
      </w:r>
      <w:proofErr w:type="spellStart"/>
      <w:r w:rsidR="00E7032B">
        <w:rPr>
          <w:rFonts w:cs="Calibri"/>
          <w:szCs w:val="24"/>
        </w:rPr>
        <w:t>Cnam</w:t>
      </w:r>
      <w:proofErr w:type="spellEnd"/>
      <w:r w:rsidR="00E7032B">
        <w:rPr>
          <w:rFonts w:cs="Calibri"/>
          <w:szCs w:val="24"/>
        </w:rPr>
        <w:t xml:space="preserve"> ne sera possible pour les exercices ultérieurs : il n’y aura pas d’accord pour les parties d’actions d’un même projet qui se dérouleraient au-delà de 2022</w:t>
      </w:r>
      <w:r w:rsidR="006178AD">
        <w:rPr>
          <w:rFonts w:cs="Calibri"/>
          <w:szCs w:val="24"/>
        </w:rPr>
        <w:t>.</w:t>
      </w:r>
    </w:p>
    <w:p w:rsidR="00E7032B" w:rsidRDefault="00E7032B" w:rsidP="00F34E0A">
      <w:pPr>
        <w:autoSpaceDE w:val="0"/>
        <w:autoSpaceDN w:val="0"/>
        <w:adjustRightInd w:val="0"/>
        <w:spacing w:after="0" w:line="240" w:lineRule="auto"/>
        <w:jc w:val="both"/>
        <w:rPr>
          <w:rFonts w:cs="Calibri"/>
          <w:lang w:eastAsia="fr-FR"/>
        </w:rPr>
      </w:pPr>
    </w:p>
    <w:p w:rsidR="00CD2AEB" w:rsidRDefault="00E7032B" w:rsidP="00F34E0A">
      <w:pPr>
        <w:autoSpaceDE w:val="0"/>
        <w:autoSpaceDN w:val="0"/>
        <w:adjustRightInd w:val="0"/>
        <w:spacing w:after="0" w:line="240" w:lineRule="auto"/>
        <w:jc w:val="both"/>
        <w:rPr>
          <w:rFonts w:cs="Calibri"/>
          <w:lang w:eastAsia="fr-FR"/>
        </w:rPr>
      </w:pPr>
      <w:r>
        <w:rPr>
          <w:rFonts w:cs="Calibri"/>
          <w:lang w:eastAsia="fr-FR"/>
        </w:rPr>
        <w:t xml:space="preserve">Compte tenu de cela, dans la fiche projet, seuls </w:t>
      </w:r>
      <w:proofErr w:type="gramStart"/>
      <w:r>
        <w:rPr>
          <w:rFonts w:cs="Calibri"/>
          <w:lang w:eastAsia="fr-FR"/>
        </w:rPr>
        <w:t>le contenu</w:t>
      </w:r>
      <w:proofErr w:type="gramEnd"/>
      <w:r>
        <w:rPr>
          <w:rFonts w:cs="Calibri"/>
          <w:lang w:eastAsia="fr-FR"/>
        </w:rPr>
        <w:t xml:space="preserve"> des actions se déroulant sur 2022 et leur budget 2022 détaillé seront décrits, ainsi que leur calendrier de réalisation sur 2022.</w:t>
      </w:r>
    </w:p>
    <w:p w:rsidR="00350115" w:rsidRPr="00B5495A" w:rsidRDefault="00350115" w:rsidP="00F34E0A">
      <w:pPr>
        <w:autoSpaceDE w:val="0"/>
        <w:autoSpaceDN w:val="0"/>
        <w:adjustRightInd w:val="0"/>
        <w:spacing w:after="0" w:line="240" w:lineRule="auto"/>
        <w:jc w:val="both"/>
        <w:rPr>
          <w:rFonts w:cs="Calibri"/>
          <w:lang w:eastAsia="fr-FR"/>
        </w:rPr>
      </w:pPr>
    </w:p>
    <w:p w:rsidR="00677E74" w:rsidRPr="00F34E0A" w:rsidRDefault="007D5EA1" w:rsidP="00870888">
      <w:pPr>
        <w:pStyle w:val="Style1"/>
        <w:contextualSpacing/>
        <w:rPr>
          <w:sz w:val="22"/>
          <w:szCs w:val="22"/>
        </w:rPr>
      </w:pPr>
      <w:bookmarkStart w:id="2" w:name="_Toc531346570"/>
      <w:r w:rsidRPr="00F34E0A">
        <w:rPr>
          <w:sz w:val="22"/>
          <w:szCs w:val="22"/>
        </w:rPr>
        <w:t>conformité avec les</w:t>
      </w:r>
      <w:r w:rsidR="00257CF9" w:rsidRPr="00F34E0A">
        <w:rPr>
          <w:sz w:val="22"/>
          <w:szCs w:val="22"/>
        </w:rPr>
        <w:t xml:space="preserve"> recommandations </w:t>
      </w:r>
      <w:r w:rsidR="003B640B" w:rsidRPr="00F34E0A">
        <w:rPr>
          <w:sz w:val="22"/>
          <w:szCs w:val="22"/>
        </w:rPr>
        <w:t>DES AUTORITES DE SANTE</w:t>
      </w:r>
      <w:r w:rsidR="00A974B2" w:rsidRPr="00F34E0A">
        <w:rPr>
          <w:sz w:val="22"/>
          <w:szCs w:val="22"/>
        </w:rPr>
        <w:t xml:space="preserve"> </w:t>
      </w:r>
      <w:r w:rsidR="00A83AD8" w:rsidRPr="00F34E0A">
        <w:rPr>
          <w:sz w:val="22"/>
          <w:szCs w:val="22"/>
        </w:rPr>
        <w:t>e</w:t>
      </w:r>
      <w:r w:rsidR="00303231" w:rsidRPr="00F34E0A">
        <w:rPr>
          <w:sz w:val="22"/>
          <w:szCs w:val="22"/>
        </w:rPr>
        <w:t>N VIGUEUR</w:t>
      </w:r>
      <w:bookmarkEnd w:id="2"/>
      <w:r w:rsidR="00677E74" w:rsidRPr="00F34E0A">
        <w:rPr>
          <w:sz w:val="22"/>
          <w:szCs w:val="22"/>
        </w:rPr>
        <w:t xml:space="preserve"> </w:t>
      </w:r>
    </w:p>
    <w:p w:rsidR="00414EBA" w:rsidRDefault="00414EBA" w:rsidP="00205F01">
      <w:pPr>
        <w:pStyle w:val="Default"/>
        <w:tabs>
          <w:tab w:val="left" w:pos="7363"/>
        </w:tabs>
        <w:spacing w:line="264" w:lineRule="auto"/>
        <w:rPr>
          <w:color w:val="auto"/>
          <w:sz w:val="22"/>
          <w:szCs w:val="22"/>
        </w:rPr>
      </w:pPr>
      <w:r>
        <w:rPr>
          <w:color w:val="auto"/>
          <w:sz w:val="22"/>
          <w:szCs w:val="22"/>
        </w:rPr>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rsidR="00D4548D" w:rsidRDefault="00D4548D" w:rsidP="00205F01">
      <w:pPr>
        <w:pStyle w:val="Default"/>
        <w:numPr>
          <w:ilvl w:val="0"/>
          <w:numId w:val="39"/>
        </w:numPr>
        <w:spacing w:before="60"/>
        <w:ind w:left="714" w:hanging="357"/>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rsidR="00D4548D" w:rsidRDefault="00D4548D" w:rsidP="00205F01">
      <w:pPr>
        <w:pStyle w:val="Default"/>
        <w:numPr>
          <w:ilvl w:val="0"/>
          <w:numId w:val="39"/>
        </w:numPr>
        <w:spacing w:before="60"/>
        <w:ind w:left="714" w:hanging="357"/>
        <w:rPr>
          <w:sz w:val="22"/>
        </w:rPr>
      </w:pPr>
      <w:r>
        <w:rPr>
          <w:sz w:val="22"/>
        </w:rPr>
        <w:t>« Contraception : Prescription et conseils aux femmes ». Fiche Mémo. Juillet 2013 mise à jour juillet 2019 ;</w:t>
      </w:r>
    </w:p>
    <w:p w:rsidR="005D7E2A" w:rsidRPr="00D4548D" w:rsidRDefault="005D7E2A" w:rsidP="00205F01">
      <w:pPr>
        <w:pStyle w:val="Default"/>
        <w:numPr>
          <w:ilvl w:val="0"/>
          <w:numId w:val="39"/>
        </w:numPr>
        <w:spacing w:before="60"/>
        <w:ind w:left="714" w:hanging="357"/>
        <w:rPr>
          <w:sz w:val="22"/>
        </w:rPr>
      </w:pPr>
      <w:r>
        <w:rPr>
          <w:sz w:val="22"/>
        </w:rPr>
        <w:t>« Contraception d’urgence : dispensation en officine ». Recommandation de bonne pratique – Fiche mémo. Juillet 2019 ;</w:t>
      </w:r>
    </w:p>
    <w:p w:rsidR="00BA5980" w:rsidRDefault="005D7E2A" w:rsidP="00205F01">
      <w:pPr>
        <w:pStyle w:val="Default"/>
        <w:numPr>
          <w:ilvl w:val="0"/>
          <w:numId w:val="39"/>
        </w:numPr>
        <w:spacing w:before="60"/>
        <w:ind w:left="714" w:hanging="357"/>
        <w:rPr>
          <w:sz w:val="22"/>
        </w:rPr>
      </w:pPr>
      <w:r>
        <w:rPr>
          <w:sz w:val="22"/>
        </w:rPr>
        <w:lastRenderedPageBreak/>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r w:rsidR="001708A6">
        <w:rPr>
          <w:sz w:val="22"/>
        </w:rPr>
        <w:t> ;</w:t>
      </w:r>
    </w:p>
    <w:p w:rsidR="00674F4E" w:rsidRDefault="000E29D2" w:rsidP="00205F01">
      <w:pPr>
        <w:pStyle w:val="Default"/>
        <w:numPr>
          <w:ilvl w:val="0"/>
          <w:numId w:val="39"/>
        </w:numPr>
        <w:spacing w:before="60"/>
        <w:ind w:left="714" w:hanging="357"/>
        <w:rPr>
          <w:sz w:val="22"/>
        </w:rPr>
      </w:pPr>
      <w:r>
        <w:rPr>
          <w:sz w:val="22"/>
        </w:rPr>
        <w:t xml:space="preserve">« Place des TROD dans la stratégie </w:t>
      </w:r>
      <w:r w:rsidR="000361A8">
        <w:rPr>
          <w:sz w:val="22"/>
        </w:rPr>
        <w:t>de dépistage de l’hépatite C ». Recommandation en Santé Publique. M</w:t>
      </w:r>
      <w:r>
        <w:rPr>
          <w:sz w:val="22"/>
        </w:rPr>
        <w:t>ai 2014</w:t>
      </w:r>
      <w:r w:rsidR="000361A8">
        <w:rPr>
          <w:sz w:val="22"/>
        </w:rPr>
        <w:t> ;</w:t>
      </w:r>
    </w:p>
    <w:p w:rsidR="001708A6" w:rsidRDefault="001708A6" w:rsidP="001708A6">
      <w:pPr>
        <w:pStyle w:val="Default"/>
        <w:numPr>
          <w:ilvl w:val="0"/>
          <w:numId w:val="39"/>
        </w:numPr>
        <w:spacing w:before="60"/>
        <w:ind w:left="714" w:hanging="357"/>
        <w:rPr>
          <w:sz w:val="22"/>
        </w:rPr>
      </w:pPr>
      <w:r>
        <w:rPr>
          <w:sz w:val="22"/>
        </w:rPr>
        <w:t>« Place des TROD dans la stratégie de dépistage de l’hépatite B ». Recommandation en Santé Publique. Juin 2016 ;</w:t>
      </w:r>
    </w:p>
    <w:p w:rsidR="001C354B" w:rsidRDefault="000361A8" w:rsidP="00205F01">
      <w:pPr>
        <w:pStyle w:val="Default"/>
        <w:numPr>
          <w:ilvl w:val="0"/>
          <w:numId w:val="39"/>
        </w:numPr>
        <w:spacing w:before="60"/>
        <w:ind w:left="714" w:hanging="357"/>
        <w:rPr>
          <w:sz w:val="22"/>
        </w:rPr>
      </w:pPr>
      <w:r>
        <w:rPr>
          <w:sz w:val="22"/>
        </w:rPr>
        <w:t xml:space="preserve">« Réévaluation de la stratégie de dépistage des infections à </w:t>
      </w:r>
      <w:r w:rsidRPr="006777C6">
        <w:rPr>
          <w:i/>
          <w:sz w:val="22"/>
        </w:rPr>
        <w:t xml:space="preserve">Chlamydia </w:t>
      </w:r>
      <w:proofErr w:type="spellStart"/>
      <w:r w:rsidRPr="006777C6">
        <w:rPr>
          <w:i/>
          <w:sz w:val="22"/>
        </w:rPr>
        <w:t>trachomatis</w:t>
      </w:r>
      <w:proofErr w:type="spellEnd"/>
      <w:r>
        <w:rPr>
          <w:sz w:val="22"/>
        </w:rPr>
        <w:t> ». Recommandation en Santé Publique. Septembre 2018.</w:t>
      </w:r>
    </w:p>
    <w:p w:rsidR="00B5495A" w:rsidRDefault="00B5495A" w:rsidP="00B5495A">
      <w:pPr>
        <w:spacing w:after="0"/>
        <w:rPr>
          <w:rFonts w:cs="Calibri"/>
          <w:bCs/>
          <w:color w:val="000000"/>
          <w:lang w:eastAsia="fr-FR"/>
        </w:rPr>
      </w:pPr>
    </w:p>
    <w:p w:rsidR="00303231" w:rsidRDefault="00303231" w:rsidP="00FC481B">
      <w:pPr>
        <w:jc w:val="both"/>
      </w:pPr>
      <w:bookmarkStart w:id="3" w:name="_Toc531346572"/>
    </w:p>
    <w:bookmarkEnd w:id="3"/>
    <w:p w:rsidR="00A21F13" w:rsidRPr="00520D2B"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I</w:t>
      </w:r>
      <w:r w:rsidR="00A76A7A">
        <w:rPr>
          <w:rFonts w:asciiTheme="minorHAnsi" w:hAnsiTheme="minorHAnsi"/>
          <w:i w:val="0"/>
          <w:color w:val="1F497D" w:themeColor="text2"/>
          <w:sz w:val="24"/>
        </w:rPr>
        <w:t>V</w:t>
      </w:r>
      <w:r w:rsidR="00A21F13">
        <w:rPr>
          <w:rFonts w:asciiTheme="minorHAnsi" w:hAnsiTheme="minorHAnsi"/>
          <w:i w:val="0"/>
          <w:color w:val="1F497D" w:themeColor="text2"/>
          <w:sz w:val="24"/>
        </w:rPr>
        <w:t xml:space="preserve"> – </w:t>
      </w:r>
      <w:r w:rsidR="00CD4B77">
        <w:rPr>
          <w:rFonts w:asciiTheme="minorHAnsi" w:hAnsiTheme="minorHAnsi"/>
          <w:i w:val="0"/>
          <w:color w:val="1F497D" w:themeColor="text2"/>
          <w:sz w:val="24"/>
        </w:rPr>
        <w:t>REGLES DE FINANCEMENT</w:t>
      </w:r>
    </w:p>
    <w:p w:rsidR="005E1C5F" w:rsidRDefault="00241D91" w:rsidP="00205F01">
      <w:pPr>
        <w:spacing w:before="120" w:after="0" w:line="240" w:lineRule="auto"/>
        <w:rPr>
          <w:szCs w:val="24"/>
        </w:rPr>
      </w:pPr>
      <w:r>
        <w:rPr>
          <w:szCs w:val="24"/>
        </w:rPr>
        <w:t>Ces règles de fi</w:t>
      </w:r>
      <w:r w:rsidR="00DB4D9A">
        <w:rPr>
          <w:szCs w:val="24"/>
        </w:rPr>
        <w:t>nancement</w:t>
      </w:r>
      <w:r w:rsidR="00DB121C">
        <w:rPr>
          <w:szCs w:val="24"/>
        </w:rPr>
        <w:t xml:space="preserve"> doi</w:t>
      </w:r>
      <w:r w:rsidR="00DB4D9A">
        <w:rPr>
          <w:szCs w:val="24"/>
        </w:rPr>
        <w:t>ven</w:t>
      </w:r>
      <w:r w:rsidR="00DB121C">
        <w:rPr>
          <w:szCs w:val="24"/>
        </w:rPr>
        <w:t>t être strictement respecté</w:t>
      </w:r>
      <w:r w:rsidR="00DB4D9A">
        <w:rPr>
          <w:szCs w:val="24"/>
        </w:rPr>
        <w:t>es</w:t>
      </w:r>
      <w:r w:rsidR="00DB121C">
        <w:rPr>
          <w:szCs w:val="24"/>
        </w:rPr>
        <w:t>.</w:t>
      </w:r>
    </w:p>
    <w:p w:rsidR="00DB121C" w:rsidRDefault="00DB121C" w:rsidP="005E1C5F">
      <w:pPr>
        <w:spacing w:before="120" w:after="0" w:line="240" w:lineRule="auto"/>
        <w:jc w:val="both"/>
        <w:rPr>
          <w:szCs w:val="24"/>
        </w:rPr>
      </w:pPr>
    </w:p>
    <w:p w:rsidR="00DB121C" w:rsidRPr="009649B8" w:rsidRDefault="00DB121C" w:rsidP="00205F01">
      <w:pPr>
        <w:spacing w:after="60"/>
        <w:rPr>
          <w:b/>
        </w:rPr>
      </w:pPr>
      <w:r w:rsidRPr="009F0900">
        <w:rPr>
          <w:b/>
        </w:rPr>
        <w:t xml:space="preserve">Afin d’apporter un éclairage plus précis, chaque rubrique ci-après est illustrée </w:t>
      </w:r>
      <w:r w:rsidRPr="005E5FDE">
        <w:rPr>
          <w:b/>
          <w:u w:val="single"/>
        </w:rPr>
        <w:t>d’exemples</w:t>
      </w:r>
      <w:r w:rsidRPr="009F0900">
        <w:rPr>
          <w:b/>
        </w:rPr>
        <w:t xml:space="preserve"> de postes de dépenses éligibles </w:t>
      </w:r>
      <w:r>
        <w:rPr>
          <w:b/>
        </w:rPr>
        <w:t xml:space="preserve">et non éligibles </w:t>
      </w:r>
      <w:r w:rsidRPr="009F0900">
        <w:rPr>
          <w:b/>
        </w:rPr>
        <w:t>au financement FNPEIS (</w:t>
      </w:r>
      <w:r w:rsidRPr="005E5FDE">
        <w:rPr>
          <w:b/>
          <w:u w:val="single"/>
        </w:rPr>
        <w:t>non exhaustifs</w:t>
      </w:r>
      <w:r w:rsidRPr="009F0900">
        <w:rPr>
          <w:b/>
        </w:rPr>
        <w:t>), notammen</w:t>
      </w:r>
      <w:r>
        <w:rPr>
          <w:b/>
        </w:rPr>
        <w:t>t car</w:t>
      </w:r>
      <w:r w:rsidRPr="009F0900">
        <w:rPr>
          <w:b/>
        </w:rPr>
        <w:t xml:space="preserve"> </w:t>
      </w:r>
      <w:r w:rsidRPr="009F0900">
        <w:rPr>
          <w:rFonts w:cs="Calibri"/>
          <w:b/>
          <w:color w:val="000000"/>
          <w:lang w:eastAsia="fr-FR"/>
        </w:rPr>
        <w:t>ils relèvent d’autres finance</w:t>
      </w:r>
      <w:r>
        <w:rPr>
          <w:rFonts w:cs="Calibri"/>
          <w:b/>
          <w:color w:val="000000"/>
          <w:lang w:eastAsia="fr-FR"/>
        </w:rPr>
        <w:t>ment</w:t>
      </w:r>
      <w:r w:rsidRPr="009F0900">
        <w:rPr>
          <w:rFonts w:cs="Calibri"/>
          <w:b/>
          <w:color w:val="000000"/>
          <w:lang w:eastAsia="fr-FR"/>
        </w:rPr>
        <w:t xml:space="preserve">s, </w:t>
      </w:r>
      <w:r>
        <w:rPr>
          <w:rFonts w:cs="Calibri"/>
          <w:b/>
          <w:color w:val="000000"/>
          <w:lang w:eastAsia="fr-FR"/>
        </w:rPr>
        <w:t xml:space="preserve">ou </w:t>
      </w:r>
      <w:r w:rsidRPr="009F0900">
        <w:rPr>
          <w:rFonts w:cs="Calibri"/>
          <w:b/>
          <w:color w:val="000000"/>
          <w:lang w:eastAsia="fr-FR"/>
        </w:rPr>
        <w:t xml:space="preserve">ne </w:t>
      </w:r>
      <w:r>
        <w:rPr>
          <w:rFonts w:cs="Calibri"/>
          <w:b/>
          <w:color w:val="000000"/>
          <w:lang w:eastAsia="fr-FR"/>
        </w:rPr>
        <w:t>correspondent</w:t>
      </w:r>
      <w:r w:rsidRPr="009F0900">
        <w:rPr>
          <w:rFonts w:cs="Calibri"/>
          <w:b/>
          <w:color w:val="000000"/>
          <w:lang w:eastAsia="fr-FR"/>
        </w:rPr>
        <w:t xml:space="preserve"> pas </w:t>
      </w:r>
      <w:r>
        <w:rPr>
          <w:rFonts w:cs="Calibri"/>
          <w:b/>
          <w:color w:val="000000"/>
          <w:lang w:eastAsia="fr-FR"/>
        </w:rPr>
        <w:t>aux</w:t>
      </w:r>
      <w:r w:rsidRPr="009649B8">
        <w:rPr>
          <w:rFonts w:cs="Calibri"/>
          <w:b/>
          <w:color w:val="000000"/>
          <w:lang w:eastAsia="fr-FR"/>
        </w:rPr>
        <w:t xml:space="preserve"> missions dévolues à l’Assurance Maladie</w:t>
      </w:r>
      <w:r>
        <w:rPr>
          <w:rFonts w:cs="Calibri"/>
          <w:b/>
          <w:color w:val="000000"/>
          <w:lang w:eastAsia="fr-FR"/>
        </w:rPr>
        <w:t>.</w:t>
      </w:r>
      <w:r w:rsidRPr="009649B8">
        <w:rPr>
          <w:b/>
        </w:rPr>
        <w:t xml:space="preserve">  </w:t>
      </w:r>
    </w:p>
    <w:p w:rsidR="00DB121C" w:rsidRDefault="00DB121C" w:rsidP="005E1C5F">
      <w:pPr>
        <w:spacing w:before="120" w:after="0" w:line="240" w:lineRule="auto"/>
        <w:jc w:val="both"/>
        <w:rPr>
          <w:szCs w:val="24"/>
        </w:rPr>
      </w:pPr>
    </w:p>
    <w:p w:rsidR="00783E3E" w:rsidRDefault="00783E3E" w:rsidP="00876D88">
      <w:pPr>
        <w:spacing w:after="0" w:line="240" w:lineRule="auto"/>
        <w:ind w:left="720"/>
        <w:jc w:val="both"/>
      </w:pPr>
    </w:p>
    <w:p w:rsidR="00AC32D2" w:rsidRPr="00C93847" w:rsidRDefault="005E5FDE" w:rsidP="005E5FDE">
      <w:pPr>
        <w:spacing w:after="0" w:line="264" w:lineRule="auto"/>
        <w:jc w:val="both"/>
        <w:rPr>
          <w:rFonts w:eastAsia="Times New Roman"/>
          <w:color w:val="000000"/>
          <w:lang w:eastAsia="fr-FR"/>
        </w:rPr>
      </w:pPr>
      <w:r w:rsidRPr="005E5FDE">
        <w:rPr>
          <w:rFonts w:eastAsia="Times New Roman"/>
          <w:b/>
          <w:color w:val="000000"/>
          <w:bdr w:val="single" w:sz="4" w:space="0" w:color="auto"/>
          <w:lang w:eastAsia="fr-FR"/>
        </w:rPr>
        <w:t xml:space="preserve">Vacations </w:t>
      </w:r>
      <w:r w:rsidR="00AC32D2" w:rsidRPr="005E5FDE">
        <w:rPr>
          <w:rFonts w:eastAsia="Times New Roman"/>
          <w:b/>
          <w:color w:val="000000"/>
          <w:bdr w:val="single" w:sz="4" w:space="0" w:color="auto"/>
          <w:lang w:eastAsia="fr-FR"/>
        </w:rPr>
        <w:t>des intervenants externes à l’Assurance Maladie</w:t>
      </w:r>
      <w:r w:rsidR="00AC32D2" w:rsidRPr="00C93847">
        <w:rPr>
          <w:rFonts w:eastAsia="Times New Roman"/>
          <w:color w:val="000000"/>
          <w:lang w:eastAsia="fr-FR"/>
        </w:rPr>
        <w:t xml:space="preserve"> </w:t>
      </w:r>
    </w:p>
    <w:p w:rsidR="00AC32D2" w:rsidRDefault="00AC32D2" w:rsidP="00AC32D2">
      <w:pPr>
        <w:spacing w:after="0" w:line="264" w:lineRule="auto"/>
        <w:ind w:firstLine="360"/>
        <w:jc w:val="both"/>
        <w:rPr>
          <w:rFonts w:eastAsia="Times New Roman"/>
          <w:b/>
          <w:color w:val="000000"/>
          <w:lang w:eastAsia="fr-FR"/>
        </w:rPr>
      </w:pPr>
    </w:p>
    <w:p w:rsidR="00210DC5" w:rsidRPr="00587463" w:rsidRDefault="00210DC5" w:rsidP="00205F01">
      <w:pPr>
        <w:spacing w:before="60" w:after="0" w:line="240" w:lineRule="auto"/>
        <w:rPr>
          <w:rFonts w:eastAsia="Times New Roman"/>
          <w:color w:val="000000"/>
          <w:lang w:eastAsia="fr-FR"/>
        </w:rPr>
      </w:pPr>
      <w:r w:rsidRPr="00587463">
        <w:rPr>
          <w:szCs w:val="24"/>
        </w:rPr>
        <w:t>Il convien</w:t>
      </w:r>
      <w:r w:rsidR="005E5FDE">
        <w:rPr>
          <w:szCs w:val="24"/>
        </w:rPr>
        <w:t>t</w:t>
      </w:r>
      <w:r w:rsidRPr="00587463">
        <w:rPr>
          <w:szCs w:val="24"/>
        </w:rPr>
        <w:t xml:space="preserve"> de faire appel aux compétences locales. </w:t>
      </w:r>
    </w:p>
    <w:p w:rsidR="00AC32D2" w:rsidRPr="00C93847" w:rsidRDefault="00AC32D2" w:rsidP="00205F01">
      <w:pPr>
        <w:spacing w:after="0" w:line="264" w:lineRule="auto"/>
        <w:ind w:firstLine="360"/>
        <w:rPr>
          <w:rFonts w:eastAsia="Times New Roman"/>
          <w:b/>
          <w:color w:val="000000"/>
          <w:lang w:eastAsia="fr-FR"/>
        </w:rPr>
      </w:pPr>
    </w:p>
    <w:p w:rsidR="00AC32D2" w:rsidRPr="00C93847" w:rsidRDefault="00AC32D2" w:rsidP="00205F01">
      <w:pPr>
        <w:spacing w:after="0" w:line="264" w:lineRule="auto"/>
        <w:rPr>
          <w:rFonts w:eastAsia="Times New Roman"/>
          <w:b/>
          <w:color w:val="000000"/>
          <w:lang w:eastAsia="fr-FR"/>
        </w:rPr>
      </w:pPr>
      <w:r w:rsidRPr="00C93847">
        <w:rPr>
          <w:rFonts w:eastAsia="Times New Roman"/>
          <w:b/>
          <w:color w:val="000000"/>
          <w:lang w:eastAsia="fr-FR"/>
        </w:rPr>
        <w:t>1</w:t>
      </w:r>
      <w:r w:rsidR="005E5FDE">
        <w:rPr>
          <w:rFonts w:eastAsia="Times New Roman"/>
          <w:b/>
          <w:color w:val="000000"/>
          <w:lang w:eastAsia="fr-FR"/>
        </w:rPr>
        <w:t>-</w:t>
      </w:r>
      <w:r w:rsidRPr="00C93847">
        <w:rPr>
          <w:rFonts w:eastAsia="Times New Roman"/>
          <w:b/>
          <w:color w:val="000000"/>
          <w:lang w:eastAsia="fr-FR"/>
        </w:rPr>
        <w:t xml:space="preserve"> </w:t>
      </w:r>
      <w:r w:rsidRPr="005E5FDE">
        <w:rPr>
          <w:rFonts w:eastAsia="Times New Roman"/>
          <w:b/>
          <w:color w:val="000000"/>
          <w:u w:val="single"/>
          <w:lang w:eastAsia="fr-FR"/>
        </w:rPr>
        <w:t xml:space="preserve">Professionnels </w:t>
      </w:r>
      <w:proofErr w:type="spellStart"/>
      <w:r w:rsidR="00652FE7" w:rsidRPr="005E5FDE">
        <w:rPr>
          <w:rFonts w:eastAsia="Times New Roman"/>
          <w:b/>
          <w:color w:val="000000"/>
          <w:u w:val="single"/>
          <w:lang w:eastAsia="fr-FR"/>
        </w:rPr>
        <w:t>non salariés</w:t>
      </w:r>
      <w:proofErr w:type="spellEnd"/>
      <w:r w:rsidR="00652FE7" w:rsidRPr="005E5FDE">
        <w:rPr>
          <w:rFonts w:eastAsia="Times New Roman"/>
          <w:b/>
          <w:color w:val="000000"/>
          <w:u w:val="single"/>
          <w:lang w:eastAsia="fr-FR"/>
        </w:rPr>
        <w:t xml:space="preserve"> : professionnels </w:t>
      </w:r>
      <w:r w:rsidRPr="005E5FDE">
        <w:rPr>
          <w:rFonts w:eastAsia="Times New Roman"/>
          <w:b/>
          <w:color w:val="000000"/>
          <w:u w:val="single"/>
          <w:lang w:eastAsia="fr-FR"/>
        </w:rPr>
        <w:t>de santé </w:t>
      </w:r>
      <w:r w:rsidR="00652FE7" w:rsidRPr="005E5FDE">
        <w:rPr>
          <w:rFonts w:eastAsia="Times New Roman"/>
          <w:b/>
          <w:color w:val="000000"/>
          <w:u w:val="single"/>
          <w:lang w:eastAsia="fr-FR"/>
        </w:rPr>
        <w:t>et autres professionnels</w:t>
      </w:r>
      <w:r w:rsidR="00652FE7">
        <w:rPr>
          <w:rFonts w:eastAsia="Times New Roman"/>
          <w:b/>
          <w:color w:val="000000"/>
          <w:lang w:eastAsia="fr-FR"/>
        </w:rPr>
        <w:t xml:space="preserve"> </w:t>
      </w:r>
    </w:p>
    <w:p w:rsidR="007B6A37" w:rsidRDefault="007B6A37" w:rsidP="00205F01">
      <w:pPr>
        <w:spacing w:after="0" w:line="264" w:lineRule="auto"/>
        <w:rPr>
          <w:rFonts w:eastAsia="Times New Roman"/>
          <w:b/>
          <w:color w:val="000000"/>
          <w:lang w:eastAsia="fr-FR"/>
        </w:rPr>
      </w:pPr>
    </w:p>
    <w:p w:rsidR="002A56A8" w:rsidRDefault="002A56A8" w:rsidP="00C07EC5">
      <w:pPr>
        <w:pStyle w:val="Sansinterligne"/>
        <w:spacing w:line="276" w:lineRule="auto"/>
        <w:jc w:val="both"/>
        <w:rPr>
          <w:rFonts w:ascii="Calibri" w:hAnsi="Calibri"/>
          <w:sz w:val="22"/>
          <w:szCs w:val="22"/>
        </w:rPr>
      </w:pPr>
      <w:r>
        <w:rPr>
          <w:rFonts w:ascii="Calibri" w:hAnsi="Calibri"/>
          <w:b/>
          <w:sz w:val="22"/>
          <w:szCs w:val="22"/>
        </w:rPr>
        <w:t>E</w:t>
      </w:r>
      <w:r w:rsidR="007B6A37" w:rsidRPr="007B6A37">
        <w:rPr>
          <w:rFonts w:ascii="Calibri" w:hAnsi="Calibri"/>
          <w:b/>
          <w:sz w:val="22"/>
          <w:szCs w:val="22"/>
        </w:rPr>
        <w:t xml:space="preserve">ligibles au financement dans les conditions suivantes </w:t>
      </w:r>
      <w:r w:rsidR="007B6A37" w:rsidRPr="007B6A37">
        <w:rPr>
          <w:rFonts w:ascii="Calibri" w:hAnsi="Calibri"/>
          <w:sz w:val="22"/>
          <w:szCs w:val="22"/>
        </w:rPr>
        <w:t>:</w:t>
      </w:r>
      <w:r>
        <w:rPr>
          <w:rFonts w:ascii="Calibri" w:hAnsi="Calibri"/>
          <w:sz w:val="22"/>
          <w:szCs w:val="22"/>
        </w:rPr>
        <w:t xml:space="preserve"> </w:t>
      </w:r>
    </w:p>
    <w:p w:rsidR="00AC32D2" w:rsidRPr="007B6A37" w:rsidRDefault="00AC32D2" w:rsidP="00C07EC5">
      <w:pPr>
        <w:pStyle w:val="Sansinterligne"/>
        <w:spacing w:line="276" w:lineRule="auto"/>
        <w:jc w:val="both"/>
        <w:rPr>
          <w:rFonts w:asciiTheme="minorHAnsi" w:hAnsiTheme="minorHAnsi" w:cstheme="minorHAnsi"/>
          <w:i/>
          <w:color w:val="1F497D" w:themeColor="text2"/>
          <w:sz w:val="22"/>
          <w:szCs w:val="22"/>
        </w:rPr>
      </w:pPr>
      <w:r w:rsidRPr="007B6A37">
        <w:rPr>
          <w:rFonts w:asciiTheme="minorHAnsi" w:hAnsiTheme="minorHAnsi" w:cstheme="minorHAnsi"/>
          <w:color w:val="000000"/>
          <w:sz w:val="22"/>
          <w:szCs w:val="22"/>
        </w:rPr>
        <w:t xml:space="preserve">Les </w:t>
      </w:r>
      <w:r w:rsidR="0011196E">
        <w:rPr>
          <w:rFonts w:asciiTheme="minorHAnsi" w:hAnsiTheme="minorHAnsi" w:cstheme="minorHAnsi"/>
          <w:color w:val="000000"/>
          <w:sz w:val="22"/>
          <w:szCs w:val="22"/>
        </w:rPr>
        <w:t>vacations</w:t>
      </w:r>
      <w:r w:rsidRPr="007B6A37">
        <w:rPr>
          <w:rFonts w:asciiTheme="minorHAnsi" w:hAnsiTheme="minorHAnsi" w:cstheme="minorHAnsi"/>
          <w:color w:val="000000"/>
          <w:sz w:val="22"/>
          <w:szCs w:val="22"/>
        </w:rPr>
        <w:t xml:space="preserve"> réalisées dans le cadre </w:t>
      </w:r>
      <w:r w:rsidRPr="007B6A37">
        <w:rPr>
          <w:rFonts w:asciiTheme="minorHAnsi" w:hAnsiTheme="minorHAnsi" w:cstheme="minorHAnsi"/>
          <w:b/>
          <w:color w:val="000000"/>
          <w:sz w:val="22"/>
          <w:szCs w:val="22"/>
        </w:rPr>
        <w:t>d’ateliers collectifs</w:t>
      </w:r>
      <w:r w:rsidRPr="007B6A37">
        <w:rPr>
          <w:rFonts w:asciiTheme="minorHAnsi" w:hAnsiTheme="minorHAnsi" w:cstheme="minorHAnsi"/>
          <w:color w:val="000000"/>
          <w:sz w:val="22"/>
          <w:szCs w:val="22"/>
        </w:rPr>
        <w:t xml:space="preserve"> </w:t>
      </w:r>
      <w:r w:rsidRPr="007B6A37">
        <w:rPr>
          <w:rFonts w:asciiTheme="minorHAnsi" w:hAnsiTheme="minorHAnsi" w:cstheme="minorHAnsi"/>
          <w:b/>
          <w:color w:val="000000"/>
          <w:sz w:val="22"/>
          <w:szCs w:val="22"/>
        </w:rPr>
        <w:t xml:space="preserve">rémunération </w:t>
      </w:r>
      <w:r w:rsidR="007B6A37">
        <w:rPr>
          <w:rFonts w:asciiTheme="minorHAnsi" w:hAnsiTheme="minorHAnsi" w:cstheme="minorHAnsi"/>
          <w:b/>
          <w:color w:val="000000"/>
          <w:sz w:val="22"/>
          <w:szCs w:val="22"/>
        </w:rPr>
        <w:t xml:space="preserve">forfaitaire </w:t>
      </w:r>
      <w:r w:rsidRPr="007B6A37">
        <w:rPr>
          <w:rFonts w:asciiTheme="minorHAnsi" w:hAnsiTheme="minorHAnsi" w:cstheme="minorHAnsi"/>
          <w:b/>
          <w:color w:val="000000"/>
          <w:sz w:val="22"/>
          <w:szCs w:val="22"/>
        </w:rPr>
        <w:t>par heure</w:t>
      </w:r>
      <w:r w:rsidR="007B6A37">
        <w:rPr>
          <w:rFonts w:asciiTheme="minorHAnsi" w:hAnsiTheme="minorHAnsi" w:cstheme="minorHAnsi"/>
          <w:b/>
          <w:color w:val="000000"/>
          <w:sz w:val="22"/>
          <w:szCs w:val="22"/>
        </w:rPr>
        <w:t> :</w:t>
      </w:r>
    </w:p>
    <w:p w:rsidR="007B6A37" w:rsidRPr="002A56A8" w:rsidRDefault="002A56A8" w:rsidP="00C07EC5">
      <w:pPr>
        <w:ind w:left="709"/>
        <w:contextualSpacing/>
        <w:jc w:val="both"/>
      </w:pPr>
      <w:r>
        <w:t xml:space="preserve">- </w:t>
      </w:r>
      <w:r w:rsidR="007B6A37" w:rsidRPr="002A56A8">
        <w:t xml:space="preserve">forfait 75€ : praticiens* </w:t>
      </w:r>
      <w:r w:rsidR="007B6A37" w:rsidRPr="002A56A8">
        <w:rPr>
          <w:u w:val="single"/>
        </w:rPr>
        <w:t>(</w:t>
      </w:r>
      <w:r w:rsidRPr="002A56A8">
        <w:t>médecins et sages-femmes</w:t>
      </w:r>
      <w:r w:rsidR="007B6A37" w:rsidRPr="002A56A8">
        <w:t xml:space="preserve">) ; </w:t>
      </w:r>
    </w:p>
    <w:p w:rsidR="007B6A37" w:rsidRPr="002A56A8" w:rsidRDefault="002A56A8" w:rsidP="00C07EC5">
      <w:pPr>
        <w:ind w:left="709"/>
        <w:contextualSpacing/>
        <w:jc w:val="both"/>
      </w:pPr>
      <w:r>
        <w:t xml:space="preserve">- </w:t>
      </w:r>
      <w:r w:rsidR="007B6A37" w:rsidRPr="002A56A8">
        <w:t xml:space="preserve">forfait 50 € : auxiliaires médicaux* (infirmières y compris «infirmières </w:t>
      </w:r>
      <w:proofErr w:type="spellStart"/>
      <w:r w:rsidR="007B6A37" w:rsidRPr="002A56A8">
        <w:t>asalées</w:t>
      </w:r>
      <w:proofErr w:type="spellEnd"/>
      <w:r w:rsidR="007B6A37" w:rsidRPr="002A56A8">
        <w:t xml:space="preserve">») ; </w:t>
      </w:r>
    </w:p>
    <w:p w:rsidR="007B6A37" w:rsidRPr="002A56A8" w:rsidRDefault="002A56A8" w:rsidP="00263B15">
      <w:pPr>
        <w:spacing w:after="0" w:line="240" w:lineRule="auto"/>
        <w:ind w:left="709"/>
        <w:jc w:val="both"/>
        <w:rPr>
          <w:rFonts w:eastAsia="Times New Roman"/>
          <w:lang w:eastAsia="fr-FR"/>
        </w:rPr>
      </w:pPr>
      <w:r>
        <w:t xml:space="preserve">- </w:t>
      </w:r>
      <w:r w:rsidR="007B6A37" w:rsidRPr="002A56A8">
        <w:t xml:space="preserve"> forfait 40€ : </w:t>
      </w:r>
      <w:r w:rsidR="00D337DD">
        <w:t>autres</w:t>
      </w:r>
      <w:r w:rsidR="007B6A37" w:rsidRPr="002A56A8">
        <w:t xml:space="preserve"> professionnels de santé</w:t>
      </w:r>
      <w:r w:rsidR="00D337DD">
        <w:t xml:space="preserve"> et non professionnels de santé</w:t>
      </w:r>
      <w:r w:rsidR="007B6A37" w:rsidRPr="002A56A8">
        <w:t xml:space="preserve"> (</w:t>
      </w:r>
      <w:r w:rsidR="00556122">
        <w:t>conseillères conjugales, …)</w:t>
      </w:r>
    </w:p>
    <w:p w:rsidR="002A56A8" w:rsidRPr="00F54B11" w:rsidRDefault="00556122" w:rsidP="00AD35C1">
      <w:pPr>
        <w:spacing w:after="0" w:line="240" w:lineRule="auto"/>
        <w:ind w:left="426" w:firstLine="210"/>
        <w:jc w:val="both"/>
        <w:rPr>
          <w:rFonts w:eastAsia="Times New Roman"/>
          <w:color w:val="000000"/>
          <w:sz w:val="18"/>
          <w:szCs w:val="18"/>
          <w:lang w:eastAsia="fr-FR"/>
        </w:rPr>
      </w:pPr>
      <w:r w:rsidRPr="00F54B11">
        <w:rPr>
          <w:sz w:val="18"/>
          <w:szCs w:val="18"/>
        </w:rPr>
        <w:t>*concernent aussi les membres des MSP</w:t>
      </w:r>
      <w:r w:rsidR="00AD35C1">
        <w:rPr>
          <w:sz w:val="18"/>
          <w:szCs w:val="18"/>
        </w:rPr>
        <w:t xml:space="preserve"> et CPTS</w:t>
      </w:r>
    </w:p>
    <w:p w:rsidR="00B630F0" w:rsidRDefault="00B630F0" w:rsidP="00263B15">
      <w:pPr>
        <w:spacing w:after="0" w:line="240" w:lineRule="auto"/>
        <w:ind w:left="357"/>
        <w:jc w:val="both"/>
        <w:rPr>
          <w:rFonts w:eastAsia="Times New Roman"/>
          <w:color w:val="000000"/>
          <w:lang w:eastAsia="fr-FR"/>
        </w:rPr>
      </w:pPr>
    </w:p>
    <w:p w:rsidR="00AC32D2" w:rsidRPr="005E5FDE" w:rsidRDefault="00AC32D2" w:rsidP="00263B15">
      <w:pPr>
        <w:pStyle w:val="Sansinterligne"/>
        <w:numPr>
          <w:ilvl w:val="0"/>
          <w:numId w:val="83"/>
        </w:numPr>
        <w:ind w:left="567" w:hanging="283"/>
        <w:jc w:val="both"/>
        <w:rPr>
          <w:rFonts w:asciiTheme="minorHAnsi" w:hAnsiTheme="minorHAnsi" w:cstheme="minorHAnsi"/>
          <w:b/>
          <w:color w:val="000000"/>
          <w:sz w:val="22"/>
          <w:szCs w:val="22"/>
        </w:rPr>
      </w:pPr>
      <w:r w:rsidRPr="00F54B11">
        <w:rPr>
          <w:rFonts w:asciiTheme="minorHAnsi" w:hAnsiTheme="minorHAnsi" w:cstheme="minorHAnsi"/>
          <w:color w:val="000000"/>
          <w:sz w:val="22"/>
          <w:szCs w:val="22"/>
        </w:rPr>
        <w:t>Ce</w:t>
      </w:r>
      <w:r w:rsidR="0068298E" w:rsidRPr="00F54B11">
        <w:rPr>
          <w:rFonts w:asciiTheme="minorHAnsi" w:hAnsiTheme="minorHAnsi" w:cstheme="minorHAnsi"/>
          <w:color w:val="000000"/>
          <w:sz w:val="22"/>
          <w:szCs w:val="22"/>
        </w:rPr>
        <w:t>s</w:t>
      </w:r>
      <w:r w:rsidRPr="00F54B11">
        <w:rPr>
          <w:rFonts w:asciiTheme="minorHAnsi" w:hAnsiTheme="minorHAnsi" w:cstheme="minorHAnsi"/>
          <w:color w:val="000000"/>
          <w:sz w:val="22"/>
          <w:szCs w:val="22"/>
        </w:rPr>
        <w:t xml:space="preserve"> intervention</w:t>
      </w:r>
      <w:r w:rsidR="0068298E" w:rsidRPr="00F54B11">
        <w:rPr>
          <w:rFonts w:asciiTheme="minorHAnsi" w:hAnsiTheme="minorHAnsi" w:cstheme="minorHAnsi"/>
          <w:color w:val="000000"/>
          <w:sz w:val="22"/>
          <w:szCs w:val="22"/>
        </w:rPr>
        <w:t>s</w:t>
      </w:r>
      <w:r w:rsidRPr="00F54B11">
        <w:rPr>
          <w:rFonts w:asciiTheme="minorHAnsi" w:hAnsiTheme="minorHAnsi" w:cstheme="minorHAnsi"/>
          <w:color w:val="000000"/>
          <w:sz w:val="22"/>
          <w:szCs w:val="22"/>
        </w:rPr>
        <w:t xml:space="preserve"> doi</w:t>
      </w:r>
      <w:r w:rsidR="0068298E" w:rsidRPr="00F54B11">
        <w:rPr>
          <w:rFonts w:asciiTheme="minorHAnsi" w:hAnsiTheme="minorHAnsi" w:cstheme="minorHAnsi"/>
          <w:color w:val="000000"/>
          <w:sz w:val="22"/>
          <w:szCs w:val="22"/>
        </w:rPr>
        <w:t>ve</w:t>
      </w:r>
      <w:r w:rsidR="00263B15">
        <w:rPr>
          <w:rFonts w:asciiTheme="minorHAnsi" w:hAnsiTheme="minorHAnsi" w:cstheme="minorHAnsi"/>
          <w:color w:val="000000"/>
          <w:sz w:val="22"/>
          <w:szCs w:val="22"/>
        </w:rPr>
        <w:t>n</w:t>
      </w:r>
      <w:r w:rsidRPr="00F54B11">
        <w:rPr>
          <w:rFonts w:asciiTheme="minorHAnsi" w:hAnsiTheme="minorHAnsi" w:cstheme="minorHAnsi"/>
          <w:color w:val="000000"/>
          <w:sz w:val="22"/>
          <w:szCs w:val="22"/>
        </w:rPr>
        <w:t>t être effectuée</w:t>
      </w:r>
      <w:r w:rsidR="0068298E" w:rsidRPr="00F54B11">
        <w:rPr>
          <w:rFonts w:asciiTheme="minorHAnsi" w:hAnsiTheme="minorHAnsi" w:cstheme="minorHAnsi"/>
          <w:color w:val="000000"/>
          <w:sz w:val="22"/>
          <w:szCs w:val="22"/>
        </w:rPr>
        <w:t>s</w:t>
      </w:r>
      <w:r w:rsidRPr="00F54B11">
        <w:rPr>
          <w:rFonts w:asciiTheme="minorHAnsi" w:hAnsiTheme="minorHAnsi" w:cstheme="minorHAnsi"/>
          <w:color w:val="000000"/>
          <w:sz w:val="22"/>
          <w:szCs w:val="22"/>
        </w:rPr>
        <w:t xml:space="preserve"> </w:t>
      </w:r>
      <w:r w:rsidRPr="005E5FDE">
        <w:rPr>
          <w:rFonts w:asciiTheme="minorHAnsi" w:hAnsiTheme="minorHAnsi" w:cstheme="minorHAnsi"/>
          <w:b/>
          <w:color w:val="000000"/>
          <w:sz w:val="22"/>
          <w:szCs w:val="22"/>
        </w:rPr>
        <w:t>en dehors de leur activité principale</w:t>
      </w:r>
      <w:r w:rsidRPr="00F54B11">
        <w:rPr>
          <w:rFonts w:asciiTheme="minorHAnsi" w:hAnsiTheme="minorHAnsi" w:cstheme="minorHAnsi"/>
          <w:color w:val="000000"/>
          <w:sz w:val="22"/>
          <w:szCs w:val="22"/>
        </w:rPr>
        <w:t xml:space="preserve"> </w:t>
      </w:r>
      <w:r w:rsidRPr="005E5FDE">
        <w:rPr>
          <w:rFonts w:asciiTheme="minorHAnsi" w:hAnsiTheme="minorHAnsi" w:cstheme="minorHAnsi"/>
          <w:b/>
          <w:color w:val="000000"/>
          <w:sz w:val="22"/>
          <w:szCs w:val="22"/>
        </w:rPr>
        <w:t xml:space="preserve">(du temps de travail </w:t>
      </w:r>
      <w:r w:rsidR="00556122" w:rsidRPr="005E5FDE">
        <w:rPr>
          <w:rFonts w:asciiTheme="minorHAnsi" w:hAnsiTheme="minorHAnsi" w:cstheme="minorHAnsi"/>
          <w:b/>
          <w:color w:val="000000"/>
          <w:sz w:val="22"/>
          <w:szCs w:val="22"/>
        </w:rPr>
        <w:t>défini par leur contrat de travail et/</w:t>
      </w:r>
      <w:r w:rsidRPr="005E5FDE">
        <w:rPr>
          <w:rFonts w:asciiTheme="minorHAnsi" w:hAnsiTheme="minorHAnsi" w:cstheme="minorHAnsi"/>
          <w:b/>
          <w:color w:val="000000"/>
          <w:sz w:val="22"/>
          <w:szCs w:val="22"/>
        </w:rPr>
        <w:t>ou de leur activité libérale au sein de leur cabinet).</w:t>
      </w:r>
    </w:p>
    <w:p w:rsidR="0068298E" w:rsidRPr="00C07EC5" w:rsidRDefault="00F54B11" w:rsidP="00C07EC5">
      <w:pPr>
        <w:pStyle w:val="Sansinterligne"/>
        <w:numPr>
          <w:ilvl w:val="0"/>
          <w:numId w:val="83"/>
        </w:numPr>
        <w:ind w:left="567" w:hanging="283"/>
        <w:jc w:val="both"/>
        <w:rPr>
          <w:rFonts w:asciiTheme="minorHAnsi" w:hAnsiTheme="minorHAnsi" w:cstheme="minorHAnsi"/>
          <w:color w:val="000000"/>
        </w:rPr>
      </w:pPr>
      <w:r w:rsidRPr="00C07EC5">
        <w:rPr>
          <w:rFonts w:asciiTheme="minorHAnsi" w:hAnsiTheme="minorHAnsi" w:cstheme="minorHAnsi"/>
          <w:color w:val="000000"/>
          <w:sz w:val="22"/>
          <w:szCs w:val="22"/>
        </w:rPr>
        <w:t>Le nombre de vacations doit être « réaliste »</w:t>
      </w:r>
      <w:r w:rsidR="00A4229D" w:rsidRPr="00C07EC5">
        <w:rPr>
          <w:rFonts w:asciiTheme="minorHAnsi" w:hAnsiTheme="minorHAnsi" w:cstheme="minorHAnsi"/>
          <w:color w:val="000000"/>
          <w:sz w:val="22"/>
          <w:szCs w:val="22"/>
        </w:rPr>
        <w:t xml:space="preserve"> de même que le nombre d’intervenants</w:t>
      </w:r>
      <w:r w:rsidRPr="00C07EC5">
        <w:rPr>
          <w:rFonts w:asciiTheme="minorHAnsi" w:hAnsiTheme="minorHAnsi" w:cstheme="minorHAnsi"/>
          <w:color w:val="000000"/>
          <w:sz w:val="22"/>
          <w:szCs w:val="22"/>
        </w:rPr>
        <w:t>.</w:t>
      </w:r>
      <w:r w:rsidR="00A4229D" w:rsidRPr="00C07EC5">
        <w:rPr>
          <w:rFonts w:asciiTheme="minorHAnsi" w:hAnsiTheme="minorHAnsi" w:cstheme="minorHAnsi"/>
          <w:color w:val="000000"/>
          <w:sz w:val="22"/>
          <w:szCs w:val="22"/>
        </w:rPr>
        <w:t xml:space="preserve"> </w:t>
      </w:r>
    </w:p>
    <w:p w:rsidR="00C07EC5" w:rsidRDefault="00C07EC5" w:rsidP="00C07EC5">
      <w:pPr>
        <w:spacing w:after="0" w:line="240" w:lineRule="auto"/>
        <w:ind w:left="567"/>
        <w:jc w:val="both"/>
        <w:rPr>
          <w:rFonts w:eastAsia="Times New Roman"/>
          <w:b/>
          <w:color w:val="000000"/>
          <w:lang w:eastAsia="fr-FR"/>
        </w:rPr>
      </w:pPr>
    </w:p>
    <w:p w:rsidR="00AC32D2" w:rsidRPr="00C93847" w:rsidRDefault="00AC32D2" w:rsidP="00C07EC5">
      <w:pPr>
        <w:spacing w:after="0" w:line="240" w:lineRule="auto"/>
        <w:jc w:val="both"/>
        <w:rPr>
          <w:rFonts w:eastAsia="Times New Roman"/>
          <w:b/>
          <w:color w:val="000000"/>
          <w:lang w:eastAsia="fr-FR"/>
        </w:rPr>
      </w:pPr>
      <w:r w:rsidRPr="00C93847">
        <w:rPr>
          <w:rFonts w:eastAsia="Times New Roman"/>
          <w:b/>
          <w:color w:val="000000"/>
          <w:lang w:eastAsia="fr-FR"/>
        </w:rPr>
        <w:t>Non éligible</w:t>
      </w:r>
      <w:r w:rsidR="00F54B11">
        <w:rPr>
          <w:rFonts w:eastAsia="Times New Roman"/>
          <w:b/>
          <w:color w:val="000000"/>
          <w:lang w:eastAsia="fr-FR"/>
        </w:rPr>
        <w:t>s</w:t>
      </w:r>
      <w:r w:rsidRPr="00C93847">
        <w:rPr>
          <w:rFonts w:eastAsia="Times New Roman"/>
          <w:b/>
          <w:color w:val="000000"/>
          <w:lang w:eastAsia="fr-FR"/>
        </w:rPr>
        <w:t xml:space="preserve"> au financement : </w:t>
      </w:r>
    </w:p>
    <w:p w:rsidR="00C07EC5" w:rsidRDefault="00C07EC5" w:rsidP="00C07EC5">
      <w:pPr>
        <w:spacing w:after="0" w:line="240" w:lineRule="auto"/>
        <w:ind w:left="567"/>
        <w:jc w:val="both"/>
        <w:rPr>
          <w:rFonts w:eastAsia="Times New Roman"/>
          <w:color w:val="000000"/>
          <w:lang w:eastAsia="fr-FR"/>
        </w:rPr>
      </w:pPr>
    </w:p>
    <w:p w:rsidR="00AC32D2" w:rsidRPr="00C07EC5" w:rsidRDefault="00F54B11" w:rsidP="00C07EC5">
      <w:pPr>
        <w:pStyle w:val="Paragraphedeliste"/>
        <w:numPr>
          <w:ilvl w:val="0"/>
          <w:numId w:val="68"/>
        </w:numPr>
        <w:spacing w:after="0" w:line="240" w:lineRule="auto"/>
        <w:ind w:left="426"/>
        <w:jc w:val="both"/>
        <w:rPr>
          <w:rFonts w:eastAsia="Times New Roman"/>
          <w:i/>
          <w:color w:val="000000"/>
          <w:lang w:eastAsia="fr-FR"/>
        </w:rPr>
      </w:pPr>
      <w:r w:rsidRPr="00C07EC5">
        <w:rPr>
          <w:rFonts w:eastAsia="Times New Roman"/>
          <w:color w:val="000000"/>
          <w:lang w:eastAsia="fr-FR"/>
        </w:rPr>
        <w:t xml:space="preserve">Vacations </w:t>
      </w:r>
      <w:r w:rsidR="00AC32D2" w:rsidRPr="00C07EC5">
        <w:rPr>
          <w:rFonts w:eastAsia="Times New Roman"/>
          <w:color w:val="000000"/>
          <w:lang w:eastAsia="fr-FR"/>
        </w:rPr>
        <w:t>de psychologues</w:t>
      </w:r>
      <w:r w:rsidRPr="00C07EC5">
        <w:rPr>
          <w:rFonts w:eastAsia="Times New Roman"/>
          <w:color w:val="000000"/>
          <w:lang w:eastAsia="fr-FR"/>
        </w:rPr>
        <w:t xml:space="preserve">, </w:t>
      </w:r>
      <w:r w:rsidR="00DD50E0" w:rsidRPr="00C07EC5">
        <w:rPr>
          <w:rFonts w:eastAsia="Times New Roman"/>
          <w:color w:val="000000"/>
          <w:lang w:eastAsia="fr-FR"/>
        </w:rPr>
        <w:t xml:space="preserve">juristes, </w:t>
      </w:r>
      <w:r w:rsidR="00A4229D" w:rsidRPr="00C07EC5">
        <w:rPr>
          <w:rFonts w:eastAsia="Times New Roman"/>
          <w:color w:val="000000"/>
          <w:lang w:eastAsia="fr-FR"/>
        </w:rPr>
        <w:t xml:space="preserve">traducteurs, </w:t>
      </w:r>
      <w:r w:rsidRPr="00C07EC5">
        <w:rPr>
          <w:rFonts w:eastAsia="Times New Roman"/>
          <w:color w:val="000000"/>
          <w:lang w:eastAsia="fr-FR"/>
        </w:rPr>
        <w:t>so</w:t>
      </w:r>
      <w:r w:rsidR="00BC2F06" w:rsidRPr="00C07EC5">
        <w:rPr>
          <w:rFonts w:eastAsia="Times New Roman"/>
          <w:color w:val="000000"/>
          <w:lang w:eastAsia="fr-FR"/>
        </w:rPr>
        <w:t>ph</w:t>
      </w:r>
      <w:r w:rsidRPr="00C07EC5">
        <w:rPr>
          <w:rFonts w:eastAsia="Times New Roman"/>
          <w:color w:val="000000"/>
          <w:lang w:eastAsia="fr-FR"/>
        </w:rPr>
        <w:t>rologues, coach de vie, professeurs de sport</w:t>
      </w:r>
      <w:r w:rsidR="006C0C27" w:rsidRPr="00C07EC5">
        <w:rPr>
          <w:rFonts w:eastAsia="Times New Roman"/>
          <w:color w:val="000000"/>
          <w:lang w:eastAsia="fr-FR"/>
        </w:rPr>
        <w:t> /d’activités sportives</w:t>
      </w:r>
      <w:r w:rsidRPr="00C07EC5">
        <w:rPr>
          <w:rFonts w:eastAsia="Times New Roman"/>
          <w:color w:val="000000"/>
          <w:lang w:eastAsia="fr-FR"/>
        </w:rPr>
        <w:t>, de yoga,</w:t>
      </w:r>
      <w:r w:rsidR="006C0C27" w:rsidRPr="00C07EC5">
        <w:rPr>
          <w:rFonts w:eastAsia="Times New Roman"/>
          <w:color w:val="000000"/>
          <w:lang w:eastAsia="fr-FR"/>
        </w:rPr>
        <w:t xml:space="preserve"> bien-être,</w:t>
      </w:r>
      <w:r w:rsidRPr="00C07EC5">
        <w:rPr>
          <w:rFonts w:eastAsia="Times New Roman"/>
          <w:color w:val="000000"/>
          <w:lang w:eastAsia="fr-FR"/>
        </w:rPr>
        <w:t xml:space="preserve"> </w:t>
      </w:r>
      <w:r w:rsidR="00172E4B" w:rsidRPr="00C07EC5">
        <w:rPr>
          <w:rFonts w:eastAsia="Times New Roman"/>
          <w:color w:val="000000"/>
          <w:lang w:eastAsia="fr-FR"/>
        </w:rPr>
        <w:t>art thérapie</w:t>
      </w:r>
      <w:r w:rsidR="00CD00C3" w:rsidRPr="00C07EC5">
        <w:rPr>
          <w:rFonts w:eastAsia="Times New Roman"/>
          <w:color w:val="000000"/>
          <w:lang w:eastAsia="fr-FR"/>
        </w:rPr>
        <w:t>,</w:t>
      </w:r>
      <w:r w:rsidR="00263B15" w:rsidRPr="00C07EC5">
        <w:rPr>
          <w:rFonts w:eastAsia="Times New Roman"/>
          <w:color w:val="000000"/>
          <w:lang w:eastAsia="fr-FR"/>
        </w:rPr>
        <w:t xml:space="preserve"> </w:t>
      </w:r>
      <w:r w:rsidR="00DD50E0" w:rsidRPr="00C07EC5">
        <w:rPr>
          <w:rFonts w:eastAsia="Times New Roman"/>
          <w:color w:val="000000"/>
          <w:lang w:eastAsia="fr-FR"/>
        </w:rPr>
        <w:t>métiers du</w:t>
      </w:r>
      <w:r w:rsidR="00CD00C3" w:rsidRPr="00C07EC5">
        <w:rPr>
          <w:rFonts w:eastAsia="Times New Roman"/>
          <w:color w:val="000000"/>
          <w:lang w:eastAsia="fr-FR"/>
        </w:rPr>
        <w:t xml:space="preserve"> bien-être, …</w:t>
      </w:r>
    </w:p>
    <w:p w:rsidR="00C07EC5" w:rsidRPr="00F54B11" w:rsidRDefault="006B7D66" w:rsidP="00C07EC5">
      <w:pPr>
        <w:pStyle w:val="Sansinterligne"/>
        <w:numPr>
          <w:ilvl w:val="0"/>
          <w:numId w:val="68"/>
        </w:numPr>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C07EC5">
        <w:rPr>
          <w:rFonts w:asciiTheme="minorHAnsi" w:hAnsiTheme="minorHAnsi" w:cstheme="minorHAnsi"/>
          <w:color w:val="000000"/>
          <w:sz w:val="22"/>
          <w:szCs w:val="22"/>
        </w:rPr>
        <w:t>réparation de l’action et sa coordination</w:t>
      </w:r>
      <w:r>
        <w:rPr>
          <w:rFonts w:asciiTheme="minorHAnsi" w:hAnsiTheme="minorHAnsi" w:cstheme="minorHAnsi"/>
          <w:color w:val="000000"/>
          <w:sz w:val="22"/>
          <w:szCs w:val="22"/>
        </w:rPr>
        <w:t>.</w:t>
      </w:r>
    </w:p>
    <w:p w:rsidR="00AC32D2" w:rsidRPr="00C93847" w:rsidRDefault="00AC32D2" w:rsidP="00C07EC5">
      <w:pPr>
        <w:spacing w:after="0" w:line="264" w:lineRule="auto"/>
        <w:ind w:left="426"/>
        <w:jc w:val="both"/>
        <w:rPr>
          <w:rFonts w:eastAsia="Times New Roman"/>
          <w:b/>
          <w:color w:val="000000"/>
          <w:u w:val="single"/>
          <w:bdr w:val="single" w:sz="4" w:space="0" w:color="auto"/>
          <w:lang w:eastAsia="fr-FR"/>
        </w:rPr>
      </w:pPr>
    </w:p>
    <w:p w:rsidR="00AC32D2" w:rsidRPr="00C93847" w:rsidRDefault="005E5FDE" w:rsidP="00263B15">
      <w:pPr>
        <w:spacing w:after="0" w:line="264" w:lineRule="auto"/>
        <w:jc w:val="both"/>
        <w:rPr>
          <w:rFonts w:eastAsia="Times New Roman"/>
          <w:b/>
          <w:color w:val="000000"/>
          <w:lang w:eastAsia="fr-FR"/>
        </w:rPr>
      </w:pPr>
      <w:r>
        <w:rPr>
          <w:rFonts w:eastAsia="Times New Roman"/>
          <w:b/>
          <w:color w:val="000000"/>
          <w:lang w:eastAsia="fr-FR"/>
        </w:rPr>
        <w:lastRenderedPageBreak/>
        <w:t xml:space="preserve">2 - </w:t>
      </w:r>
      <w:r w:rsidR="00AC32D2" w:rsidRPr="005E5FDE">
        <w:rPr>
          <w:rFonts w:eastAsia="Times New Roman"/>
          <w:b/>
          <w:color w:val="000000"/>
          <w:u w:val="single"/>
          <w:lang w:eastAsia="fr-FR"/>
        </w:rPr>
        <w:t>Personnels salariés d’une structure</w:t>
      </w:r>
      <w:r w:rsidR="00AC32D2" w:rsidRPr="00C93847">
        <w:rPr>
          <w:rFonts w:eastAsia="Times New Roman"/>
          <w:b/>
          <w:color w:val="000000"/>
          <w:lang w:eastAsia="fr-FR"/>
        </w:rPr>
        <w:t xml:space="preserve"> :</w:t>
      </w:r>
    </w:p>
    <w:p w:rsidR="00F54B11" w:rsidRDefault="00F54B11" w:rsidP="00263B15">
      <w:pPr>
        <w:spacing w:after="0" w:line="264" w:lineRule="auto"/>
        <w:jc w:val="both"/>
        <w:rPr>
          <w:rFonts w:eastAsia="Times New Roman"/>
          <w:b/>
          <w:color w:val="000000"/>
          <w:lang w:eastAsia="fr-FR"/>
        </w:rPr>
      </w:pPr>
    </w:p>
    <w:p w:rsidR="00AC32D2" w:rsidRDefault="00AC32D2" w:rsidP="00263B15">
      <w:pPr>
        <w:spacing w:after="0" w:line="264" w:lineRule="auto"/>
        <w:jc w:val="both"/>
        <w:rPr>
          <w:rFonts w:eastAsia="Times New Roman"/>
          <w:b/>
          <w:color w:val="000000"/>
          <w:lang w:eastAsia="fr-FR"/>
        </w:rPr>
      </w:pPr>
      <w:r w:rsidRPr="00C93847">
        <w:rPr>
          <w:rFonts w:eastAsia="Times New Roman"/>
          <w:b/>
          <w:color w:val="000000"/>
          <w:lang w:eastAsia="fr-FR"/>
        </w:rPr>
        <w:t>Éligible</w:t>
      </w:r>
      <w:r w:rsidR="0011196E">
        <w:rPr>
          <w:rFonts w:eastAsia="Times New Roman"/>
          <w:b/>
          <w:color w:val="000000"/>
          <w:lang w:eastAsia="fr-FR"/>
        </w:rPr>
        <w:t>s</w:t>
      </w:r>
      <w:r w:rsidRPr="00C93847">
        <w:rPr>
          <w:rFonts w:eastAsia="Times New Roman"/>
          <w:b/>
          <w:color w:val="000000"/>
          <w:lang w:eastAsia="fr-FR"/>
        </w:rPr>
        <w:t xml:space="preserve"> au financement sous les conditions suivantes :  </w:t>
      </w:r>
    </w:p>
    <w:p w:rsidR="00AC32D2" w:rsidRPr="00C93847" w:rsidRDefault="00AC32D2" w:rsidP="00263B15">
      <w:pPr>
        <w:spacing w:after="0" w:line="264" w:lineRule="auto"/>
        <w:jc w:val="both"/>
        <w:rPr>
          <w:rFonts w:eastAsia="Times New Roman"/>
          <w:b/>
          <w:color w:val="000000"/>
          <w:lang w:eastAsia="fr-FR"/>
        </w:rPr>
      </w:pPr>
    </w:p>
    <w:p w:rsidR="001412A9" w:rsidRPr="0030586E" w:rsidRDefault="0011196E" w:rsidP="00263B15">
      <w:pPr>
        <w:pStyle w:val="Sansinterligne"/>
        <w:numPr>
          <w:ilvl w:val="0"/>
          <w:numId w:val="83"/>
        </w:numPr>
        <w:spacing w:line="276" w:lineRule="auto"/>
        <w:ind w:left="720"/>
        <w:jc w:val="both"/>
        <w:rPr>
          <w:rFonts w:asciiTheme="minorHAnsi" w:hAnsiTheme="minorHAnsi" w:cstheme="minorHAnsi"/>
          <w:b/>
          <w:sz w:val="22"/>
          <w:szCs w:val="22"/>
        </w:rPr>
      </w:pPr>
      <w:r w:rsidRPr="00CE17B7">
        <w:rPr>
          <w:rFonts w:asciiTheme="minorHAnsi" w:hAnsiTheme="minorHAnsi" w:cstheme="minorHAnsi"/>
          <w:sz w:val="22"/>
          <w:szCs w:val="22"/>
        </w:rPr>
        <w:t>Ces</w:t>
      </w:r>
      <w:r w:rsidRPr="0030586E">
        <w:rPr>
          <w:rFonts w:asciiTheme="minorHAnsi" w:hAnsiTheme="minorHAnsi" w:cstheme="minorHAnsi"/>
          <w:b/>
          <w:sz w:val="22"/>
          <w:szCs w:val="22"/>
        </w:rPr>
        <w:t xml:space="preserve">  </w:t>
      </w:r>
      <w:r w:rsidR="00AC32D2" w:rsidRPr="0030586E">
        <w:rPr>
          <w:rFonts w:asciiTheme="minorHAnsi" w:hAnsiTheme="minorHAnsi" w:cstheme="minorHAnsi"/>
          <w:sz w:val="22"/>
          <w:szCs w:val="22"/>
        </w:rPr>
        <w:t>«</w:t>
      </w:r>
      <w:r w:rsidR="001412A9" w:rsidRPr="0030586E">
        <w:rPr>
          <w:rFonts w:asciiTheme="minorHAnsi" w:hAnsiTheme="minorHAnsi" w:cstheme="minorHAnsi"/>
          <w:sz w:val="22"/>
          <w:szCs w:val="22"/>
        </w:rPr>
        <w:t>vacation</w:t>
      </w:r>
      <w:r w:rsidRPr="0030586E">
        <w:rPr>
          <w:rFonts w:asciiTheme="minorHAnsi" w:hAnsiTheme="minorHAnsi" w:cstheme="minorHAnsi"/>
          <w:sz w:val="22"/>
          <w:szCs w:val="22"/>
        </w:rPr>
        <w:t>s</w:t>
      </w:r>
      <w:r w:rsidR="00AC32D2" w:rsidRPr="0030586E">
        <w:rPr>
          <w:rFonts w:asciiTheme="minorHAnsi" w:hAnsiTheme="minorHAnsi" w:cstheme="minorHAnsi"/>
          <w:sz w:val="22"/>
          <w:szCs w:val="22"/>
        </w:rPr>
        <w:t>» doi</w:t>
      </w:r>
      <w:r w:rsidRPr="0030586E">
        <w:rPr>
          <w:rFonts w:asciiTheme="minorHAnsi" w:hAnsiTheme="minorHAnsi" w:cstheme="minorHAnsi"/>
          <w:sz w:val="22"/>
          <w:szCs w:val="22"/>
        </w:rPr>
        <w:t>ven</w:t>
      </w:r>
      <w:r w:rsidR="00AC32D2" w:rsidRPr="0030586E">
        <w:rPr>
          <w:rFonts w:asciiTheme="minorHAnsi" w:hAnsiTheme="minorHAnsi" w:cstheme="minorHAnsi"/>
          <w:sz w:val="22"/>
          <w:szCs w:val="22"/>
        </w:rPr>
        <w:t xml:space="preserve">t </w:t>
      </w:r>
      <w:r w:rsidR="001412A9" w:rsidRPr="0030586E">
        <w:rPr>
          <w:rFonts w:asciiTheme="minorHAnsi" w:hAnsiTheme="minorHAnsi" w:cstheme="minorHAnsi"/>
          <w:sz w:val="22"/>
          <w:szCs w:val="22"/>
        </w:rPr>
        <w:t>être</w:t>
      </w:r>
      <w:r w:rsidR="00AC32D2" w:rsidRPr="0030586E">
        <w:rPr>
          <w:rFonts w:asciiTheme="minorHAnsi" w:hAnsiTheme="minorHAnsi" w:cstheme="minorHAnsi"/>
          <w:sz w:val="22"/>
          <w:szCs w:val="22"/>
        </w:rPr>
        <w:t xml:space="preserve"> </w:t>
      </w:r>
      <w:r w:rsidR="00AC32D2" w:rsidRPr="0030586E">
        <w:rPr>
          <w:rFonts w:asciiTheme="minorHAnsi" w:hAnsiTheme="minorHAnsi" w:cstheme="minorHAnsi"/>
          <w:b/>
          <w:sz w:val="22"/>
          <w:szCs w:val="22"/>
        </w:rPr>
        <w:t>réalisée</w:t>
      </w:r>
      <w:r w:rsidRPr="0030586E">
        <w:rPr>
          <w:rFonts w:asciiTheme="minorHAnsi" w:hAnsiTheme="minorHAnsi" w:cstheme="minorHAnsi"/>
          <w:b/>
          <w:sz w:val="22"/>
          <w:szCs w:val="22"/>
        </w:rPr>
        <w:t>s</w:t>
      </w:r>
      <w:r w:rsidR="00AC32D2" w:rsidRPr="0030586E">
        <w:rPr>
          <w:rFonts w:asciiTheme="minorHAnsi" w:hAnsiTheme="minorHAnsi" w:cstheme="minorHAnsi"/>
          <w:sz w:val="22"/>
          <w:szCs w:val="22"/>
        </w:rPr>
        <w:t xml:space="preserve"> </w:t>
      </w:r>
      <w:r w:rsidR="00AC32D2" w:rsidRPr="0030586E">
        <w:rPr>
          <w:rFonts w:asciiTheme="minorHAnsi" w:hAnsiTheme="minorHAnsi" w:cstheme="minorHAnsi"/>
          <w:b/>
          <w:sz w:val="22"/>
          <w:szCs w:val="22"/>
        </w:rPr>
        <w:t>en dehors de l’activité salariée habituelle</w:t>
      </w:r>
      <w:r w:rsidR="001412A9" w:rsidRPr="0030586E">
        <w:rPr>
          <w:rFonts w:asciiTheme="minorHAnsi" w:hAnsiTheme="minorHAnsi" w:cstheme="minorHAnsi"/>
          <w:b/>
          <w:sz w:val="22"/>
          <w:szCs w:val="22"/>
        </w:rPr>
        <w:t> ;</w:t>
      </w:r>
    </w:p>
    <w:p w:rsidR="0011196E" w:rsidRPr="0030586E" w:rsidRDefault="0011196E" w:rsidP="00263B15">
      <w:pPr>
        <w:pStyle w:val="Sansinterligne"/>
        <w:numPr>
          <w:ilvl w:val="0"/>
          <w:numId w:val="83"/>
        </w:numPr>
        <w:spacing w:line="276" w:lineRule="auto"/>
        <w:ind w:left="720"/>
        <w:jc w:val="both"/>
        <w:rPr>
          <w:rFonts w:asciiTheme="minorHAnsi" w:hAnsiTheme="minorHAnsi" w:cstheme="minorHAnsi"/>
          <w:b/>
          <w:sz w:val="22"/>
          <w:szCs w:val="22"/>
        </w:rPr>
      </w:pPr>
      <w:r w:rsidRPr="0030586E">
        <w:rPr>
          <w:rFonts w:asciiTheme="minorHAnsi" w:hAnsiTheme="minorHAnsi" w:cstheme="minorHAnsi"/>
          <w:sz w:val="22"/>
          <w:szCs w:val="22"/>
        </w:rPr>
        <w:t>Elles doivent donc être effectuées</w:t>
      </w:r>
      <w:r w:rsidRPr="0030586E">
        <w:rPr>
          <w:rFonts w:asciiTheme="minorHAnsi" w:hAnsiTheme="minorHAnsi" w:cstheme="minorHAnsi"/>
          <w:b/>
          <w:sz w:val="22"/>
          <w:szCs w:val="22"/>
        </w:rPr>
        <w:t xml:space="preserve"> en plus </w:t>
      </w:r>
      <w:r w:rsidRPr="0030586E">
        <w:rPr>
          <w:rFonts w:asciiTheme="minorHAnsi" w:hAnsiTheme="minorHAnsi" w:cstheme="minorHAnsi"/>
          <w:sz w:val="22"/>
          <w:szCs w:val="22"/>
        </w:rPr>
        <w:t xml:space="preserve">des heures de travail </w:t>
      </w:r>
      <w:r w:rsidR="00C76AD1">
        <w:rPr>
          <w:rFonts w:asciiTheme="minorHAnsi" w:hAnsiTheme="minorHAnsi" w:cstheme="minorHAnsi"/>
          <w:sz w:val="22"/>
          <w:szCs w:val="22"/>
        </w:rPr>
        <w:t>dédiées à des missions prévues par le</w:t>
      </w:r>
      <w:r w:rsidRPr="0030586E">
        <w:rPr>
          <w:rFonts w:asciiTheme="minorHAnsi" w:hAnsiTheme="minorHAnsi" w:cstheme="minorHAnsi"/>
          <w:sz w:val="22"/>
          <w:szCs w:val="22"/>
        </w:rPr>
        <w:t xml:space="preserve"> contrat du salarié</w:t>
      </w:r>
      <w:r w:rsidR="00C76AD1">
        <w:rPr>
          <w:rFonts w:asciiTheme="minorHAnsi" w:hAnsiTheme="minorHAnsi" w:cstheme="minorHAnsi"/>
          <w:sz w:val="22"/>
          <w:szCs w:val="22"/>
        </w:rPr>
        <w:t>,</w:t>
      </w:r>
      <w:r w:rsidRPr="0030586E">
        <w:rPr>
          <w:rFonts w:asciiTheme="minorHAnsi" w:hAnsiTheme="minorHAnsi" w:cstheme="minorHAnsi"/>
          <w:sz w:val="22"/>
          <w:szCs w:val="22"/>
        </w:rPr>
        <w:t xml:space="preserve"> </w:t>
      </w:r>
      <w:r w:rsidR="00C76AD1">
        <w:rPr>
          <w:rFonts w:asciiTheme="minorHAnsi" w:hAnsiTheme="minorHAnsi" w:cstheme="minorHAnsi"/>
          <w:sz w:val="22"/>
          <w:szCs w:val="22"/>
        </w:rPr>
        <w:t>et être spécifiquement consacr</w:t>
      </w:r>
      <w:r w:rsidRPr="0030586E">
        <w:rPr>
          <w:rFonts w:asciiTheme="minorHAnsi" w:hAnsiTheme="minorHAnsi" w:cstheme="minorHAnsi"/>
          <w:sz w:val="22"/>
          <w:szCs w:val="22"/>
        </w:rPr>
        <w:t>ées à la réalisation de l‘action ;</w:t>
      </w:r>
    </w:p>
    <w:p w:rsidR="0011196E" w:rsidRPr="0030586E" w:rsidRDefault="0011196E" w:rsidP="00263B15">
      <w:pPr>
        <w:pStyle w:val="Sansinterligne"/>
        <w:numPr>
          <w:ilvl w:val="0"/>
          <w:numId w:val="83"/>
        </w:numPr>
        <w:spacing w:line="276" w:lineRule="auto"/>
        <w:ind w:left="720"/>
        <w:jc w:val="both"/>
        <w:rPr>
          <w:rFonts w:ascii="Calibri" w:hAnsi="Calibri"/>
          <w:sz w:val="22"/>
          <w:szCs w:val="22"/>
        </w:rPr>
      </w:pPr>
      <w:r w:rsidRPr="0030586E">
        <w:rPr>
          <w:rFonts w:asciiTheme="minorHAnsi" w:hAnsiTheme="minorHAnsi" w:cstheme="minorHAnsi"/>
          <w:sz w:val="22"/>
          <w:szCs w:val="22"/>
        </w:rPr>
        <w:t xml:space="preserve">Le nombre de vacations doit rester dans des limites </w:t>
      </w:r>
      <w:r w:rsidRPr="0030586E">
        <w:rPr>
          <w:rFonts w:ascii="Calibri" w:hAnsi="Calibri"/>
          <w:sz w:val="22"/>
          <w:szCs w:val="22"/>
        </w:rPr>
        <w:t>« réalistes ».</w:t>
      </w:r>
    </w:p>
    <w:p w:rsidR="00AC32D2" w:rsidRDefault="00AC32D2" w:rsidP="00263B15">
      <w:pPr>
        <w:spacing w:after="0" w:line="240" w:lineRule="auto"/>
        <w:jc w:val="both"/>
        <w:rPr>
          <w:rFonts w:eastAsia="Times New Roman"/>
          <w:b/>
          <w:color w:val="000000"/>
          <w:lang w:eastAsia="fr-FR"/>
        </w:rPr>
      </w:pPr>
    </w:p>
    <w:p w:rsidR="00263B15" w:rsidRDefault="00263B15" w:rsidP="00263B15">
      <w:pPr>
        <w:spacing w:after="0" w:line="240" w:lineRule="auto"/>
        <w:jc w:val="both"/>
        <w:rPr>
          <w:rFonts w:eastAsia="Times New Roman"/>
          <w:b/>
          <w:color w:val="000000"/>
          <w:lang w:eastAsia="fr-FR"/>
        </w:rPr>
      </w:pPr>
      <w:r>
        <w:rPr>
          <w:rFonts w:eastAsia="Times New Roman"/>
          <w:b/>
          <w:color w:val="000000"/>
          <w:lang w:eastAsia="fr-FR"/>
        </w:rPr>
        <w:t xml:space="preserve">Pour les professionnels salariés d’une structure répondant aux critères d’éligibilité indiqués ci-dessus, les barèmes de vacations à appliquer sont ceux précisés pour les professionnels </w:t>
      </w:r>
      <w:proofErr w:type="spellStart"/>
      <w:r>
        <w:rPr>
          <w:rFonts w:eastAsia="Times New Roman"/>
          <w:b/>
          <w:color w:val="000000"/>
          <w:lang w:eastAsia="fr-FR"/>
        </w:rPr>
        <w:t>non salariés</w:t>
      </w:r>
      <w:proofErr w:type="spellEnd"/>
      <w:r>
        <w:rPr>
          <w:rFonts w:eastAsia="Times New Roman"/>
          <w:b/>
          <w:color w:val="000000"/>
          <w:lang w:eastAsia="fr-FR"/>
        </w:rPr>
        <w:t>.</w:t>
      </w:r>
    </w:p>
    <w:p w:rsidR="00263B15" w:rsidRPr="00C93847" w:rsidRDefault="00263B15" w:rsidP="00263B15">
      <w:pPr>
        <w:spacing w:after="0" w:line="240" w:lineRule="auto"/>
        <w:jc w:val="both"/>
        <w:rPr>
          <w:rFonts w:eastAsia="Times New Roman"/>
          <w:b/>
          <w:color w:val="000000"/>
          <w:lang w:eastAsia="fr-FR"/>
        </w:rPr>
      </w:pPr>
    </w:p>
    <w:p w:rsidR="00AC32D2" w:rsidRPr="00C93847" w:rsidRDefault="00AC32D2" w:rsidP="00263B15">
      <w:pPr>
        <w:spacing w:after="0" w:line="240" w:lineRule="auto"/>
        <w:jc w:val="both"/>
        <w:rPr>
          <w:rFonts w:eastAsia="Times New Roman"/>
          <w:b/>
          <w:color w:val="000000"/>
          <w:lang w:eastAsia="fr-FR"/>
        </w:rPr>
      </w:pPr>
      <w:r w:rsidRPr="00C93847">
        <w:rPr>
          <w:rFonts w:eastAsia="Times New Roman"/>
          <w:b/>
          <w:color w:val="000000"/>
          <w:lang w:eastAsia="fr-FR"/>
        </w:rPr>
        <w:t>Non éligible au financement</w:t>
      </w:r>
      <w:r>
        <w:rPr>
          <w:rFonts w:eastAsia="Times New Roman"/>
          <w:b/>
          <w:color w:val="000000"/>
          <w:lang w:eastAsia="fr-FR"/>
        </w:rPr>
        <w:t> :</w:t>
      </w:r>
    </w:p>
    <w:p w:rsidR="00AC32D2" w:rsidRPr="00C93847" w:rsidRDefault="00AC32D2" w:rsidP="00263B15">
      <w:pPr>
        <w:spacing w:after="0" w:line="240" w:lineRule="auto"/>
        <w:ind w:left="357"/>
        <w:jc w:val="both"/>
        <w:rPr>
          <w:rFonts w:eastAsia="Times New Roman"/>
          <w:i/>
          <w:color w:val="000000"/>
          <w:lang w:eastAsia="fr-FR"/>
        </w:rPr>
      </w:pPr>
      <w:r w:rsidRPr="00C93847">
        <w:rPr>
          <w:rFonts w:eastAsia="Times New Roman"/>
          <w:b/>
          <w:color w:val="000000"/>
          <w:lang w:eastAsia="fr-FR"/>
        </w:rPr>
        <w:t>Rémunération de salariés sur leur temps de travail habituel</w:t>
      </w:r>
      <w:r>
        <w:rPr>
          <w:rFonts w:eastAsia="Times New Roman"/>
          <w:b/>
          <w:color w:val="000000"/>
          <w:lang w:eastAsia="fr-FR"/>
        </w:rPr>
        <w:t xml:space="preserve"> </w:t>
      </w:r>
      <w:r w:rsidRPr="00C93847">
        <w:rPr>
          <w:rFonts w:eastAsia="Times New Roman"/>
          <w:b/>
          <w:color w:val="000000"/>
          <w:lang w:eastAsia="fr-FR"/>
        </w:rPr>
        <w:t xml:space="preserve">: </w:t>
      </w:r>
      <w:r w:rsidRPr="00C93847">
        <w:rPr>
          <w:rFonts w:eastAsia="Times New Roman"/>
          <w:color w:val="000000"/>
          <w:lang w:eastAsia="fr-FR"/>
        </w:rPr>
        <w:t>salariés</w:t>
      </w:r>
      <w:r w:rsidRPr="00C93847">
        <w:rPr>
          <w:rFonts w:eastAsia="Times New Roman"/>
          <w:b/>
          <w:color w:val="000000"/>
          <w:lang w:eastAsia="fr-FR"/>
        </w:rPr>
        <w:t xml:space="preserve"> </w:t>
      </w:r>
      <w:r w:rsidRPr="00C93847">
        <w:rPr>
          <w:rFonts w:eastAsia="Times New Roman"/>
          <w:color w:val="000000"/>
          <w:lang w:eastAsia="fr-FR"/>
        </w:rPr>
        <w:t>de promoteurs, de partenaires du projet, de</w:t>
      </w:r>
      <w:r w:rsidR="00210DC5">
        <w:rPr>
          <w:rFonts w:eastAsia="Times New Roman"/>
          <w:color w:val="000000"/>
          <w:lang w:eastAsia="fr-FR"/>
        </w:rPr>
        <w:t xml:space="preserve"> mutuelles, de</w:t>
      </w:r>
      <w:r w:rsidRPr="00C93847">
        <w:rPr>
          <w:rFonts w:eastAsia="Times New Roman"/>
          <w:color w:val="000000"/>
          <w:lang w:eastAsia="fr-FR"/>
        </w:rPr>
        <w:t xml:space="preserve"> structures </w:t>
      </w:r>
      <w:r w:rsidR="00D7551B">
        <w:rPr>
          <w:rFonts w:eastAsia="Times New Roman"/>
          <w:color w:val="000000"/>
          <w:lang w:eastAsia="fr-FR"/>
        </w:rPr>
        <w:t xml:space="preserve">qui sont </w:t>
      </w:r>
      <w:r w:rsidRPr="00C93847">
        <w:rPr>
          <w:rFonts w:eastAsia="Times New Roman"/>
          <w:color w:val="000000"/>
          <w:lang w:eastAsia="fr-FR"/>
        </w:rPr>
        <w:t>déjà rémunérés par leur structure d’origine</w:t>
      </w:r>
      <w:r w:rsidRPr="00C93847">
        <w:rPr>
          <w:rFonts w:eastAsia="Times New Roman"/>
          <w:i/>
          <w:color w:val="000000"/>
          <w:lang w:eastAsia="fr-FR"/>
        </w:rPr>
        <w:t xml:space="preserve">, </w:t>
      </w:r>
      <w:r w:rsidRPr="00C93847">
        <w:rPr>
          <w:rFonts w:eastAsia="Times New Roman"/>
          <w:color w:val="000000"/>
          <w:lang w:eastAsia="fr-FR"/>
        </w:rPr>
        <w:t xml:space="preserve">création de poste pérenne.  </w:t>
      </w:r>
      <w:r w:rsidR="00172E4B">
        <w:rPr>
          <w:rFonts w:eastAsia="Times New Roman"/>
          <w:color w:val="000000"/>
          <w:lang w:eastAsia="fr-FR"/>
        </w:rPr>
        <w:t>Le FNPEIS ne prend pas en charge les salaires.</w:t>
      </w:r>
    </w:p>
    <w:p w:rsidR="00AC32D2" w:rsidRPr="00B2515A" w:rsidRDefault="00AC32D2" w:rsidP="00263B15">
      <w:pPr>
        <w:spacing w:after="0" w:line="240" w:lineRule="auto"/>
        <w:ind w:left="720"/>
        <w:jc w:val="both"/>
      </w:pPr>
    </w:p>
    <w:p w:rsidR="00F64930" w:rsidRPr="00B2515A" w:rsidRDefault="00F64930" w:rsidP="00205F01">
      <w:pPr>
        <w:spacing w:after="0" w:line="240" w:lineRule="auto"/>
        <w:ind w:left="720"/>
      </w:pPr>
    </w:p>
    <w:p w:rsidR="0008107A" w:rsidRDefault="00C52E4C" w:rsidP="0030586E">
      <w:pPr>
        <w:spacing w:after="0" w:line="264" w:lineRule="auto"/>
        <w:jc w:val="both"/>
        <w:rPr>
          <w:rFonts w:eastAsia="Times New Roman"/>
          <w:b/>
          <w:color w:val="000000"/>
          <w:lang w:eastAsia="fr-FR"/>
        </w:rPr>
      </w:pPr>
      <w:r>
        <w:rPr>
          <w:rFonts w:eastAsia="Times New Roman"/>
          <w:b/>
          <w:color w:val="000000"/>
          <w:bdr w:val="single" w:sz="4" w:space="0" w:color="auto"/>
          <w:lang w:eastAsia="fr-FR"/>
        </w:rPr>
        <w:t xml:space="preserve"> </w:t>
      </w:r>
      <w:r w:rsidR="00554CB8">
        <w:rPr>
          <w:rFonts w:eastAsia="Times New Roman"/>
          <w:b/>
          <w:color w:val="000000"/>
          <w:bdr w:val="single" w:sz="4" w:space="0" w:color="auto"/>
          <w:lang w:eastAsia="fr-FR"/>
        </w:rPr>
        <w:t xml:space="preserve">Actions de </w:t>
      </w:r>
      <w:r w:rsidR="0008107A" w:rsidRPr="00C52E4C">
        <w:rPr>
          <w:rFonts w:eastAsia="Times New Roman"/>
          <w:b/>
          <w:color w:val="000000"/>
          <w:bdr w:val="single" w:sz="4" w:space="0" w:color="auto"/>
          <w:lang w:eastAsia="fr-FR"/>
        </w:rPr>
        <w:t>Formations </w:t>
      </w:r>
    </w:p>
    <w:p w:rsidR="0008107A" w:rsidRDefault="0008107A" w:rsidP="0030586E">
      <w:pPr>
        <w:spacing w:after="0" w:line="264" w:lineRule="auto"/>
        <w:jc w:val="both"/>
        <w:rPr>
          <w:rFonts w:eastAsia="Times New Roman"/>
          <w:b/>
          <w:color w:val="000000"/>
          <w:lang w:eastAsia="fr-FR"/>
        </w:rPr>
      </w:pPr>
    </w:p>
    <w:p w:rsidR="00210DC5" w:rsidRPr="00C93847" w:rsidRDefault="00210DC5" w:rsidP="0030586E">
      <w:pPr>
        <w:spacing w:after="0" w:line="264" w:lineRule="auto"/>
        <w:jc w:val="both"/>
        <w:rPr>
          <w:rFonts w:eastAsia="Times New Roman"/>
          <w:b/>
          <w:color w:val="000000"/>
          <w:lang w:eastAsia="fr-FR"/>
        </w:rPr>
      </w:pPr>
      <w:r w:rsidRPr="00C93847">
        <w:rPr>
          <w:rFonts w:eastAsia="Times New Roman"/>
          <w:b/>
          <w:color w:val="000000"/>
          <w:lang w:eastAsia="fr-FR"/>
        </w:rPr>
        <w:t>Eligible</w:t>
      </w:r>
      <w:r w:rsidR="00DE299C">
        <w:rPr>
          <w:rFonts w:eastAsia="Times New Roman"/>
          <w:b/>
          <w:color w:val="000000"/>
          <w:lang w:eastAsia="fr-FR"/>
        </w:rPr>
        <w:t>s</w:t>
      </w:r>
      <w:r w:rsidRPr="00C93847">
        <w:rPr>
          <w:rFonts w:eastAsia="Times New Roman"/>
          <w:b/>
          <w:color w:val="000000"/>
          <w:lang w:eastAsia="fr-FR"/>
        </w:rPr>
        <w:t xml:space="preserve"> au financement</w:t>
      </w:r>
      <w:r w:rsidR="00DE299C">
        <w:rPr>
          <w:rFonts w:eastAsia="Times New Roman"/>
          <w:b/>
          <w:color w:val="000000"/>
          <w:lang w:eastAsia="fr-FR"/>
        </w:rPr>
        <w:t xml:space="preserve"> dans les conditions suivantes</w:t>
      </w:r>
      <w:r>
        <w:rPr>
          <w:rFonts w:eastAsia="Times New Roman"/>
          <w:b/>
          <w:color w:val="000000"/>
          <w:lang w:eastAsia="fr-FR"/>
        </w:rPr>
        <w:t> :</w:t>
      </w:r>
    </w:p>
    <w:p w:rsidR="00DE299C" w:rsidRDefault="00DE299C" w:rsidP="0030586E">
      <w:pPr>
        <w:spacing w:after="0" w:line="264" w:lineRule="auto"/>
        <w:ind w:left="357"/>
        <w:jc w:val="both"/>
        <w:rPr>
          <w:rFonts w:eastAsia="Times New Roman"/>
          <w:color w:val="000000"/>
          <w:lang w:eastAsia="fr-FR"/>
        </w:rPr>
      </w:pPr>
    </w:p>
    <w:p w:rsidR="00210DC5" w:rsidRDefault="00210DC5" w:rsidP="0030586E">
      <w:pPr>
        <w:spacing w:after="0" w:line="264" w:lineRule="auto"/>
        <w:ind w:left="357"/>
        <w:jc w:val="both"/>
        <w:rPr>
          <w:rFonts w:eastAsia="Times New Roman"/>
          <w:color w:val="000000"/>
          <w:lang w:eastAsia="fr-FR"/>
        </w:rPr>
      </w:pPr>
      <w:r w:rsidRPr="00C93847">
        <w:rPr>
          <w:rFonts w:eastAsia="Times New Roman"/>
          <w:color w:val="000000"/>
          <w:lang w:eastAsia="fr-FR"/>
        </w:rPr>
        <w:t xml:space="preserve">Seules les </w:t>
      </w:r>
      <w:r w:rsidR="00226988">
        <w:rPr>
          <w:rFonts w:eastAsia="Times New Roman"/>
          <w:color w:val="000000"/>
          <w:lang w:eastAsia="fr-FR"/>
        </w:rPr>
        <w:t xml:space="preserve">formations des personnes relais </w:t>
      </w:r>
      <w:r w:rsidRPr="00C93847">
        <w:rPr>
          <w:rFonts w:eastAsia="Times New Roman"/>
          <w:color w:val="000000"/>
          <w:lang w:eastAsia="fr-FR"/>
        </w:rPr>
        <w:t xml:space="preserve">et </w:t>
      </w:r>
      <w:r w:rsidRPr="00C93847">
        <w:rPr>
          <w:rFonts w:eastAsia="Times New Roman"/>
          <w:b/>
          <w:color w:val="000000"/>
          <w:lang w:eastAsia="fr-FR"/>
        </w:rPr>
        <w:t>en lien direct</w:t>
      </w:r>
      <w:r w:rsidRPr="00C93847">
        <w:rPr>
          <w:rFonts w:eastAsia="Times New Roman"/>
          <w:color w:val="000000"/>
          <w:lang w:eastAsia="fr-FR"/>
        </w:rPr>
        <w:t xml:space="preserve"> avec </w:t>
      </w:r>
      <w:r w:rsidR="00DE299C">
        <w:rPr>
          <w:rFonts w:eastAsia="Times New Roman"/>
          <w:color w:val="000000"/>
          <w:lang w:eastAsia="fr-FR"/>
        </w:rPr>
        <w:t xml:space="preserve">une </w:t>
      </w:r>
      <w:r w:rsidR="00DE299C" w:rsidRPr="00C93847">
        <w:rPr>
          <w:rFonts w:eastAsia="Times New Roman"/>
          <w:color w:val="000000"/>
          <w:lang w:eastAsia="fr-FR"/>
        </w:rPr>
        <w:t xml:space="preserve">action </w:t>
      </w:r>
      <w:r w:rsidR="00DE299C">
        <w:rPr>
          <w:rFonts w:eastAsia="Times New Roman"/>
          <w:color w:val="000000"/>
          <w:lang w:eastAsia="fr-FR"/>
        </w:rPr>
        <w:t xml:space="preserve">éligible dans le cadre du présent cahier des charges </w:t>
      </w:r>
      <w:r w:rsidRPr="00C93847">
        <w:rPr>
          <w:rFonts w:eastAsia="Times New Roman"/>
          <w:color w:val="000000"/>
          <w:lang w:eastAsia="fr-FR"/>
        </w:rPr>
        <w:t>peuvent être financées</w:t>
      </w:r>
      <w:r w:rsidR="00DE299C">
        <w:rPr>
          <w:rFonts w:eastAsia="Times New Roman"/>
          <w:color w:val="000000"/>
          <w:lang w:eastAsia="fr-FR"/>
        </w:rPr>
        <w:t>, dès lors qu’elles n’appartiennent pas à la structure participant au projet</w:t>
      </w:r>
    </w:p>
    <w:p w:rsidR="001A61AE" w:rsidRPr="00C93847" w:rsidRDefault="001A61AE" w:rsidP="0030586E">
      <w:pPr>
        <w:spacing w:after="0" w:line="264" w:lineRule="auto"/>
        <w:ind w:left="357"/>
        <w:jc w:val="both"/>
        <w:rPr>
          <w:rFonts w:eastAsia="Times New Roman"/>
          <w:color w:val="000000"/>
          <w:lang w:eastAsia="fr-FR"/>
        </w:rPr>
      </w:pPr>
      <w:r>
        <w:rPr>
          <w:rFonts w:eastAsia="Times New Roman"/>
          <w:color w:val="000000"/>
          <w:lang w:eastAsia="fr-FR"/>
        </w:rPr>
        <w:t>Les formations s</w:t>
      </w:r>
      <w:r w:rsidR="00184368">
        <w:rPr>
          <w:rFonts w:eastAsia="Times New Roman"/>
          <w:color w:val="000000"/>
          <w:lang w:eastAsia="fr-FR"/>
        </w:rPr>
        <w:t>’inscrivent dans une perspective de participation de la personne formée à intervenir sur plusieurs exercices.</w:t>
      </w:r>
    </w:p>
    <w:p w:rsidR="00210DC5" w:rsidRPr="00C93847" w:rsidRDefault="00210DC5" w:rsidP="0030586E">
      <w:pPr>
        <w:spacing w:after="0" w:line="240" w:lineRule="auto"/>
        <w:jc w:val="both"/>
        <w:rPr>
          <w:rFonts w:eastAsia="Times New Roman"/>
          <w:color w:val="000000"/>
          <w:lang w:eastAsia="fr-FR"/>
        </w:rPr>
      </w:pPr>
    </w:p>
    <w:p w:rsidR="00210DC5" w:rsidRDefault="00210DC5" w:rsidP="0030586E">
      <w:pPr>
        <w:tabs>
          <w:tab w:val="left" w:pos="4395"/>
        </w:tabs>
        <w:spacing w:after="0" w:line="240" w:lineRule="auto"/>
        <w:jc w:val="both"/>
        <w:rPr>
          <w:rFonts w:eastAsia="Times New Roman"/>
          <w:b/>
          <w:color w:val="000000"/>
          <w:lang w:eastAsia="fr-FR"/>
        </w:rPr>
      </w:pPr>
      <w:r w:rsidRPr="00C93847">
        <w:rPr>
          <w:rFonts w:eastAsia="Times New Roman"/>
          <w:b/>
          <w:color w:val="000000"/>
          <w:lang w:eastAsia="fr-FR"/>
        </w:rPr>
        <w:t>Non éligible</w:t>
      </w:r>
      <w:r w:rsidR="00C52E4C">
        <w:rPr>
          <w:rFonts w:eastAsia="Times New Roman"/>
          <w:b/>
          <w:color w:val="000000"/>
          <w:lang w:eastAsia="fr-FR"/>
        </w:rPr>
        <w:t>s</w:t>
      </w:r>
      <w:r w:rsidRPr="00C93847">
        <w:rPr>
          <w:rFonts w:eastAsia="Times New Roman"/>
          <w:b/>
          <w:color w:val="000000"/>
          <w:lang w:eastAsia="fr-FR"/>
        </w:rPr>
        <w:t xml:space="preserve"> au financement :</w:t>
      </w:r>
    </w:p>
    <w:p w:rsidR="00DE299C" w:rsidRPr="00C93847" w:rsidRDefault="00DE299C" w:rsidP="0030586E">
      <w:pPr>
        <w:tabs>
          <w:tab w:val="left" w:pos="4395"/>
        </w:tabs>
        <w:spacing w:after="0" w:line="240" w:lineRule="auto"/>
        <w:ind w:left="426"/>
        <w:jc w:val="both"/>
        <w:rPr>
          <w:rFonts w:eastAsia="Times New Roman"/>
          <w:b/>
          <w:color w:val="000000"/>
          <w:lang w:eastAsia="fr-FR"/>
        </w:rPr>
      </w:pPr>
    </w:p>
    <w:p w:rsidR="00210DC5" w:rsidRPr="00C52E4C" w:rsidRDefault="00210DC5" w:rsidP="0030586E">
      <w:pPr>
        <w:pStyle w:val="Paragraphedeliste"/>
        <w:numPr>
          <w:ilvl w:val="0"/>
          <w:numId w:val="2"/>
        </w:numPr>
        <w:tabs>
          <w:tab w:val="left" w:pos="4395"/>
        </w:tabs>
        <w:spacing w:after="0" w:line="240" w:lineRule="auto"/>
        <w:ind w:left="426"/>
        <w:jc w:val="both"/>
        <w:rPr>
          <w:rFonts w:eastAsia="Times New Roman"/>
          <w:lang w:eastAsia="fr-FR"/>
        </w:rPr>
      </w:pPr>
      <w:r w:rsidRPr="00C52E4C">
        <w:rPr>
          <w:rFonts w:eastAsia="Times New Roman"/>
          <w:lang w:eastAsia="fr-FR"/>
        </w:rPr>
        <w:t xml:space="preserve">Formations </w:t>
      </w:r>
      <w:r w:rsidR="009E0DB5" w:rsidRPr="00C52E4C">
        <w:rPr>
          <w:rFonts w:eastAsia="Times New Roman"/>
          <w:lang w:eastAsia="fr-FR"/>
        </w:rPr>
        <w:t xml:space="preserve">et informations auprès </w:t>
      </w:r>
      <w:r w:rsidRPr="00C52E4C">
        <w:rPr>
          <w:rFonts w:eastAsia="Times New Roman"/>
          <w:lang w:eastAsia="fr-FR"/>
        </w:rPr>
        <w:t xml:space="preserve">des Professionnels de Santé /auxiliaires médicaux : </w:t>
      </w:r>
      <w:r w:rsidR="00DE299C" w:rsidRPr="00C52E4C">
        <w:rPr>
          <w:rFonts w:eastAsia="Times New Roman"/>
          <w:lang w:eastAsia="fr-FR"/>
        </w:rPr>
        <w:t xml:space="preserve">ils </w:t>
      </w:r>
      <w:r w:rsidRPr="00C52E4C">
        <w:rPr>
          <w:rFonts w:eastAsia="Times New Roman"/>
          <w:lang w:eastAsia="fr-FR"/>
        </w:rPr>
        <w:t>relèvent des crédits de la formation</w:t>
      </w:r>
      <w:r w:rsidR="0045439B">
        <w:rPr>
          <w:rFonts w:eastAsia="Times New Roman"/>
          <w:lang w:eastAsia="fr-FR"/>
        </w:rPr>
        <w:t xml:space="preserve"> continue</w:t>
      </w:r>
      <w:r w:rsidRPr="00C52E4C">
        <w:rPr>
          <w:rFonts w:eastAsia="Times New Roman"/>
          <w:lang w:eastAsia="fr-FR"/>
        </w:rPr>
        <w:t xml:space="preserve"> </w:t>
      </w:r>
      <w:r w:rsidR="009E0DB5" w:rsidRPr="00C52E4C">
        <w:rPr>
          <w:rFonts w:eastAsia="Times New Roman"/>
          <w:lang w:eastAsia="fr-FR"/>
        </w:rPr>
        <w:t xml:space="preserve">/ des missions des caisses (ex : informations sur la réglementation) ; </w:t>
      </w:r>
    </w:p>
    <w:p w:rsidR="00210DC5" w:rsidRPr="00C52E4C" w:rsidRDefault="00210DC5" w:rsidP="0030586E">
      <w:pPr>
        <w:pStyle w:val="Paragraphedeliste"/>
        <w:numPr>
          <w:ilvl w:val="0"/>
          <w:numId w:val="2"/>
        </w:numPr>
        <w:tabs>
          <w:tab w:val="left" w:pos="4395"/>
        </w:tabs>
        <w:spacing w:after="0" w:line="240" w:lineRule="auto"/>
        <w:ind w:left="426"/>
        <w:jc w:val="both"/>
        <w:rPr>
          <w:szCs w:val="24"/>
        </w:rPr>
      </w:pPr>
      <w:r w:rsidRPr="00C52E4C">
        <w:rPr>
          <w:szCs w:val="24"/>
        </w:rPr>
        <w:t xml:space="preserve">Formation/information envers des salariés de l’Assurance Maladie, des entreprises, des mutuelles, des membres salariés de structures, </w:t>
      </w:r>
      <w:r w:rsidR="00DD50E0">
        <w:rPr>
          <w:szCs w:val="24"/>
        </w:rPr>
        <w:t xml:space="preserve">de l’Education Nationale, </w:t>
      </w:r>
      <w:r w:rsidRPr="00C52E4C">
        <w:rPr>
          <w:szCs w:val="24"/>
        </w:rPr>
        <w:t>d’associations (relèvent de fonds de formation spécifiquement dédiés, notamment des crédits de formation continue) ;</w:t>
      </w:r>
    </w:p>
    <w:p w:rsidR="00210DC5" w:rsidRPr="00C52E4C" w:rsidRDefault="00210DC5" w:rsidP="0030586E">
      <w:pPr>
        <w:pStyle w:val="Paragraphedeliste"/>
        <w:numPr>
          <w:ilvl w:val="0"/>
          <w:numId w:val="2"/>
        </w:numPr>
        <w:tabs>
          <w:tab w:val="left" w:pos="4395"/>
        </w:tabs>
        <w:spacing w:before="60" w:after="0" w:line="240" w:lineRule="auto"/>
        <w:ind w:left="426"/>
        <w:jc w:val="both"/>
        <w:rPr>
          <w:szCs w:val="24"/>
        </w:rPr>
      </w:pPr>
      <w:r w:rsidRPr="00150490">
        <w:t>Formation/information auprès des futurs professionnels en formation (ex : étudiants en santé, école d’infirmiers) ;</w:t>
      </w:r>
    </w:p>
    <w:p w:rsidR="00210DC5" w:rsidRPr="0030586E" w:rsidRDefault="00210DC5" w:rsidP="0030586E">
      <w:pPr>
        <w:pStyle w:val="Paragraphedeliste"/>
        <w:numPr>
          <w:ilvl w:val="0"/>
          <w:numId w:val="2"/>
        </w:numPr>
        <w:tabs>
          <w:tab w:val="left" w:pos="4395"/>
        </w:tabs>
        <w:spacing w:before="60" w:after="0" w:line="240" w:lineRule="auto"/>
        <w:ind w:left="426"/>
        <w:jc w:val="both"/>
        <w:rPr>
          <w:i/>
        </w:rPr>
      </w:pPr>
      <w:r w:rsidRPr="00150490">
        <w:t xml:space="preserve">Formations </w:t>
      </w:r>
      <w:r w:rsidR="00F63908">
        <w:t>des personnels « </w:t>
      </w:r>
      <w:proofErr w:type="spellStart"/>
      <w:r w:rsidR="00F63908">
        <w:t>trodeurs</w:t>
      </w:r>
      <w:proofErr w:type="spellEnd"/>
      <w:r w:rsidR="00F63908">
        <w:t> »</w:t>
      </w:r>
      <w:r w:rsidR="0045439B">
        <w:t xml:space="preserve"> et/ou</w:t>
      </w:r>
      <w:r w:rsidR="00F63908">
        <w:t xml:space="preserve"> relevant des structures participant au programme de dépistage communautaire</w:t>
      </w:r>
      <w:r w:rsidRPr="00150490">
        <w:t xml:space="preserve"> ;</w:t>
      </w:r>
    </w:p>
    <w:p w:rsidR="00DD50E0" w:rsidRPr="0030586E" w:rsidRDefault="00DD50E0" w:rsidP="0030586E">
      <w:pPr>
        <w:pStyle w:val="Paragraphedeliste"/>
        <w:numPr>
          <w:ilvl w:val="0"/>
          <w:numId w:val="2"/>
        </w:numPr>
        <w:tabs>
          <w:tab w:val="left" w:pos="4395"/>
        </w:tabs>
        <w:spacing w:before="60" w:after="0" w:line="240" w:lineRule="auto"/>
        <w:ind w:left="426"/>
        <w:jc w:val="both"/>
        <w:rPr>
          <w:i/>
        </w:rPr>
      </w:pPr>
      <w:r>
        <w:t>Formations sans lien direct ou en lien trop éloig</w:t>
      </w:r>
      <w:bookmarkStart w:id="4" w:name="_GoBack"/>
      <w:bookmarkEnd w:id="4"/>
      <w:r>
        <w:t>né</w:t>
      </w:r>
      <w:r>
        <w:tab/>
        <w:t>avec les sujets à traiter (contraception, prévention du VIH VHC VHB et des IST)</w:t>
      </w:r>
      <w:r w:rsidR="00871D82">
        <w:t> dont formations de formateurs, formations au</w:t>
      </w:r>
      <w:r w:rsidR="00D9269C">
        <w:t>x</w:t>
      </w:r>
      <w:r w:rsidR="00871D82">
        <w:t xml:space="preserve"> premier</w:t>
      </w:r>
      <w:r w:rsidR="00D9269C">
        <w:t>s</w:t>
      </w:r>
      <w:r w:rsidR="00871D82">
        <w:t xml:space="preserve"> secours, </w:t>
      </w:r>
      <w:r w:rsidR="006B7D66">
        <w:t>formation</w:t>
      </w:r>
      <w:r w:rsidR="00A83EA1">
        <w:t>s</w:t>
      </w:r>
      <w:r w:rsidR="006B7D66">
        <w:t xml:space="preserve"> aux outils, </w:t>
      </w:r>
      <w:r w:rsidR="00871D82">
        <w:t>etc…</w:t>
      </w:r>
    </w:p>
    <w:p w:rsidR="00315B17" w:rsidRPr="00315B17" w:rsidRDefault="00315B17" w:rsidP="0030586E">
      <w:pPr>
        <w:pStyle w:val="Paragraphedeliste"/>
        <w:numPr>
          <w:ilvl w:val="0"/>
          <w:numId w:val="2"/>
        </w:numPr>
        <w:spacing w:after="0" w:line="264" w:lineRule="auto"/>
        <w:ind w:left="426"/>
        <w:jc w:val="both"/>
        <w:rPr>
          <w:rFonts w:eastAsia="Times New Roman"/>
          <w:lang w:eastAsia="fr-FR"/>
        </w:rPr>
      </w:pPr>
      <w:r>
        <w:rPr>
          <w:rFonts w:cs="Calibri"/>
          <w:lang w:eastAsia="fr-FR"/>
        </w:rPr>
        <w:t>maté</w:t>
      </w:r>
      <w:r w:rsidRPr="00315B17">
        <w:rPr>
          <w:rFonts w:cs="Calibri"/>
          <w:lang w:eastAsia="fr-FR"/>
        </w:rPr>
        <w:t>riel de dépistage, autotests, préservatifs, outils tels que kits, mannequins,</w:t>
      </w:r>
      <w:r>
        <w:rPr>
          <w:rFonts w:cs="Calibri"/>
          <w:lang w:eastAsia="fr-FR"/>
        </w:rPr>
        <w:t xml:space="preserve"> planches anatomiques, matériel</w:t>
      </w:r>
      <w:r w:rsidRPr="00315B17">
        <w:rPr>
          <w:rFonts w:cs="Calibri"/>
          <w:lang w:eastAsia="fr-FR"/>
        </w:rPr>
        <w:t xml:space="preserve"> de soins,…</w:t>
      </w:r>
    </w:p>
    <w:p w:rsidR="00210DC5" w:rsidRDefault="00210DC5" w:rsidP="0030586E">
      <w:pPr>
        <w:spacing w:after="0" w:line="240" w:lineRule="auto"/>
        <w:ind w:left="357"/>
        <w:jc w:val="both"/>
        <w:rPr>
          <w:rFonts w:eastAsia="Times New Roman"/>
          <w:color w:val="FF0000"/>
          <w:lang w:eastAsia="fr-FR"/>
        </w:rPr>
      </w:pPr>
    </w:p>
    <w:p w:rsidR="00F64930" w:rsidRPr="008F437F" w:rsidRDefault="00F64930" w:rsidP="00205F01">
      <w:pPr>
        <w:spacing w:after="0" w:line="240" w:lineRule="auto"/>
        <w:ind w:left="357"/>
        <w:rPr>
          <w:rFonts w:eastAsia="Times New Roman"/>
          <w:color w:val="FF0000"/>
          <w:lang w:eastAsia="fr-FR"/>
        </w:rPr>
      </w:pPr>
    </w:p>
    <w:p w:rsidR="00210DC5" w:rsidRPr="00C93847" w:rsidRDefault="00C52E4C" w:rsidP="00205F01">
      <w:pPr>
        <w:spacing w:after="0" w:line="240" w:lineRule="auto"/>
        <w:rPr>
          <w:rFonts w:eastAsia="Times New Roman"/>
          <w:b/>
          <w:color w:val="000000"/>
          <w:lang w:eastAsia="fr-FR"/>
        </w:rPr>
      </w:pPr>
      <w:r>
        <w:rPr>
          <w:rFonts w:eastAsia="Times New Roman"/>
          <w:b/>
          <w:color w:val="000000"/>
          <w:bdr w:val="single" w:sz="4" w:space="0" w:color="auto"/>
          <w:lang w:eastAsia="fr-FR"/>
        </w:rPr>
        <w:t xml:space="preserve"> </w:t>
      </w:r>
      <w:r w:rsidR="00210DC5" w:rsidRPr="00C93847">
        <w:rPr>
          <w:rFonts w:eastAsia="Times New Roman"/>
          <w:b/>
          <w:color w:val="000000"/>
          <w:bdr w:val="single" w:sz="4" w:space="0" w:color="auto"/>
          <w:lang w:eastAsia="fr-FR"/>
        </w:rPr>
        <w:t>Indemnités kilométriques / nuitées</w:t>
      </w:r>
      <w:r>
        <w:rPr>
          <w:rFonts w:eastAsia="Times New Roman"/>
          <w:b/>
          <w:color w:val="000000"/>
          <w:bdr w:val="single" w:sz="4" w:space="0" w:color="auto"/>
          <w:lang w:eastAsia="fr-FR"/>
        </w:rPr>
        <w:t xml:space="preserve">  </w:t>
      </w:r>
      <w:r w:rsidR="00210DC5" w:rsidRPr="00C93847">
        <w:rPr>
          <w:rFonts w:eastAsia="Times New Roman"/>
          <w:b/>
          <w:color w:val="000000"/>
          <w:lang w:eastAsia="fr-FR"/>
        </w:rPr>
        <w:t xml:space="preserve"> </w:t>
      </w:r>
    </w:p>
    <w:p w:rsidR="00210DC5" w:rsidRPr="00C93847" w:rsidRDefault="00210DC5" w:rsidP="00205F01">
      <w:pPr>
        <w:spacing w:after="0" w:line="240" w:lineRule="auto"/>
        <w:rPr>
          <w:rFonts w:eastAsia="Times New Roman"/>
          <w:color w:val="000000"/>
          <w:sz w:val="16"/>
          <w:szCs w:val="16"/>
          <w:lang w:eastAsia="fr-FR"/>
        </w:rPr>
      </w:pPr>
    </w:p>
    <w:p w:rsidR="00210DC5" w:rsidRDefault="00210DC5" w:rsidP="00205F01">
      <w:pPr>
        <w:spacing w:after="0" w:line="240" w:lineRule="auto"/>
        <w:rPr>
          <w:rFonts w:eastAsia="Times New Roman"/>
          <w:color w:val="000000"/>
          <w:lang w:eastAsia="fr-FR"/>
        </w:rPr>
      </w:pPr>
      <w:r w:rsidRPr="00C93847">
        <w:rPr>
          <w:rFonts w:eastAsia="Times New Roman"/>
          <w:b/>
          <w:color w:val="000000"/>
          <w:lang w:eastAsia="fr-FR"/>
        </w:rPr>
        <w:t>Eligible</w:t>
      </w:r>
      <w:r w:rsidR="006D26B3">
        <w:rPr>
          <w:rFonts w:eastAsia="Times New Roman"/>
          <w:b/>
          <w:color w:val="000000"/>
          <w:lang w:eastAsia="fr-FR"/>
        </w:rPr>
        <w:t>s</w:t>
      </w:r>
      <w:r w:rsidRPr="00C93847">
        <w:rPr>
          <w:rFonts w:eastAsia="Times New Roman"/>
          <w:b/>
          <w:color w:val="000000"/>
          <w:lang w:eastAsia="fr-FR"/>
        </w:rPr>
        <w:t xml:space="preserve"> au financement</w:t>
      </w:r>
      <w:r w:rsidR="006D26B3">
        <w:rPr>
          <w:rFonts w:eastAsia="Times New Roman"/>
          <w:b/>
          <w:color w:val="000000"/>
          <w:lang w:eastAsia="fr-FR"/>
        </w:rPr>
        <w:t xml:space="preserve"> </w:t>
      </w:r>
      <w:r w:rsidR="00F40E06">
        <w:rPr>
          <w:rFonts w:eastAsia="Times New Roman"/>
          <w:b/>
          <w:color w:val="000000"/>
          <w:lang w:eastAsia="fr-FR"/>
        </w:rPr>
        <w:t xml:space="preserve">dans les conditions suivantes </w:t>
      </w:r>
      <w:r w:rsidRPr="00C93847">
        <w:rPr>
          <w:rFonts w:eastAsia="Times New Roman"/>
          <w:b/>
          <w:color w:val="000000"/>
          <w:lang w:eastAsia="fr-FR"/>
        </w:rPr>
        <w:t>:</w:t>
      </w:r>
      <w:r w:rsidRPr="00C93847">
        <w:rPr>
          <w:rFonts w:eastAsia="Times New Roman"/>
          <w:color w:val="000000"/>
          <w:lang w:eastAsia="fr-FR"/>
        </w:rPr>
        <w:t xml:space="preserve"> </w:t>
      </w:r>
    </w:p>
    <w:p w:rsidR="00C52E4C" w:rsidRPr="00C93847" w:rsidRDefault="00C52E4C" w:rsidP="0030586E">
      <w:pPr>
        <w:spacing w:after="0" w:line="240" w:lineRule="auto"/>
        <w:jc w:val="both"/>
        <w:rPr>
          <w:rFonts w:eastAsia="Times New Roman"/>
          <w:color w:val="000000"/>
          <w:lang w:eastAsia="fr-FR"/>
        </w:rPr>
      </w:pPr>
    </w:p>
    <w:p w:rsidR="00226988" w:rsidRDefault="00210DC5" w:rsidP="0030586E">
      <w:pPr>
        <w:spacing w:after="0" w:line="264" w:lineRule="auto"/>
        <w:ind w:left="426"/>
        <w:jc w:val="both"/>
        <w:rPr>
          <w:rFonts w:eastAsia="Times New Roman"/>
          <w:color w:val="000000"/>
          <w:lang w:eastAsia="fr-FR"/>
        </w:rPr>
      </w:pPr>
      <w:r w:rsidRPr="00C93847">
        <w:rPr>
          <w:rFonts w:eastAsia="Times New Roman"/>
          <w:color w:val="000000"/>
          <w:lang w:eastAsia="fr-FR"/>
        </w:rPr>
        <w:t>Les Indemnités kilométriques peuvent être financées à la hauteur du barème fiscal en vigueur.</w:t>
      </w:r>
    </w:p>
    <w:p w:rsidR="00210DC5" w:rsidRDefault="00226988" w:rsidP="0030586E">
      <w:pPr>
        <w:spacing w:after="0" w:line="264" w:lineRule="auto"/>
        <w:ind w:left="426"/>
        <w:jc w:val="both"/>
        <w:rPr>
          <w:rFonts w:eastAsia="Times New Roman"/>
          <w:color w:val="000000"/>
          <w:lang w:eastAsia="fr-FR"/>
        </w:rPr>
      </w:pPr>
      <w:r>
        <w:rPr>
          <w:rFonts w:eastAsia="Times New Roman"/>
          <w:color w:val="000000"/>
          <w:lang w:eastAsia="fr-FR"/>
        </w:rPr>
        <w:t xml:space="preserve">Il est rappelé qu’il doit être fait appel </w:t>
      </w:r>
      <w:r w:rsidR="006D26B3">
        <w:rPr>
          <w:rFonts w:eastAsia="Times New Roman"/>
          <w:color w:val="000000"/>
          <w:lang w:eastAsia="fr-FR"/>
        </w:rPr>
        <w:t>aux</w:t>
      </w:r>
      <w:r>
        <w:rPr>
          <w:rFonts w:eastAsia="Times New Roman"/>
          <w:color w:val="000000"/>
          <w:lang w:eastAsia="fr-FR"/>
        </w:rPr>
        <w:t xml:space="preserve"> compétences locales.</w:t>
      </w:r>
      <w:r w:rsidR="00210DC5" w:rsidRPr="00C93847">
        <w:rPr>
          <w:rFonts w:eastAsia="Times New Roman"/>
          <w:color w:val="000000"/>
          <w:lang w:eastAsia="fr-FR"/>
        </w:rPr>
        <w:t xml:space="preserve"> </w:t>
      </w:r>
    </w:p>
    <w:p w:rsidR="006D26B3" w:rsidRDefault="006D26B3" w:rsidP="0030586E">
      <w:pPr>
        <w:spacing w:after="0" w:line="264" w:lineRule="auto"/>
        <w:ind w:left="426"/>
        <w:jc w:val="both"/>
        <w:rPr>
          <w:rFonts w:eastAsia="Times New Roman"/>
          <w:color w:val="000000"/>
          <w:lang w:eastAsia="fr-FR"/>
        </w:rPr>
      </w:pPr>
      <w:r>
        <w:rPr>
          <w:rFonts w:eastAsia="Times New Roman"/>
          <w:color w:val="000000"/>
          <w:lang w:eastAsia="fr-FR"/>
        </w:rPr>
        <w:t xml:space="preserve">En cas de déplacement </w:t>
      </w:r>
      <w:r w:rsidR="00776DD9">
        <w:rPr>
          <w:rFonts w:eastAsia="Times New Roman"/>
          <w:color w:val="000000"/>
          <w:lang w:eastAsia="fr-FR"/>
        </w:rPr>
        <w:t>de plusieurs intervenants</w:t>
      </w:r>
      <w:r>
        <w:rPr>
          <w:rFonts w:eastAsia="Times New Roman"/>
          <w:color w:val="000000"/>
          <w:lang w:eastAsia="fr-FR"/>
        </w:rPr>
        <w:t>, la mutualisation des véhicules est recommandée.</w:t>
      </w:r>
    </w:p>
    <w:p w:rsidR="00210DC5" w:rsidRPr="00C93847" w:rsidRDefault="00210DC5" w:rsidP="0030586E">
      <w:pPr>
        <w:spacing w:after="0" w:line="240" w:lineRule="auto"/>
        <w:jc w:val="both"/>
        <w:rPr>
          <w:rFonts w:eastAsia="Times New Roman"/>
          <w:b/>
          <w:color w:val="000000"/>
          <w:lang w:eastAsia="fr-FR"/>
        </w:rPr>
      </w:pPr>
    </w:p>
    <w:p w:rsidR="00210DC5" w:rsidRDefault="00210DC5" w:rsidP="0030586E">
      <w:pPr>
        <w:spacing w:after="0" w:line="240" w:lineRule="auto"/>
        <w:jc w:val="both"/>
        <w:rPr>
          <w:rFonts w:eastAsia="Times New Roman"/>
          <w:b/>
          <w:color w:val="000000"/>
          <w:lang w:eastAsia="fr-FR"/>
        </w:rPr>
      </w:pPr>
      <w:r w:rsidRPr="00C93847">
        <w:rPr>
          <w:rFonts w:eastAsia="Times New Roman"/>
          <w:b/>
          <w:color w:val="000000"/>
          <w:lang w:eastAsia="fr-FR"/>
        </w:rPr>
        <w:t>Non éligible</w:t>
      </w:r>
      <w:r w:rsidR="006D26B3">
        <w:rPr>
          <w:rFonts w:eastAsia="Times New Roman"/>
          <w:b/>
          <w:color w:val="000000"/>
          <w:lang w:eastAsia="fr-FR"/>
        </w:rPr>
        <w:t>s</w:t>
      </w:r>
      <w:r w:rsidRPr="00C93847">
        <w:rPr>
          <w:rFonts w:eastAsia="Times New Roman"/>
          <w:b/>
          <w:color w:val="000000"/>
          <w:lang w:eastAsia="fr-FR"/>
        </w:rPr>
        <w:t xml:space="preserve"> au financement :</w:t>
      </w:r>
    </w:p>
    <w:p w:rsidR="00C52E4C" w:rsidRPr="00C93847" w:rsidRDefault="00C52E4C" w:rsidP="0030586E">
      <w:pPr>
        <w:spacing w:after="0" w:line="240" w:lineRule="auto"/>
        <w:jc w:val="both"/>
        <w:rPr>
          <w:rFonts w:eastAsia="Times New Roman"/>
          <w:b/>
          <w:color w:val="000000"/>
          <w:lang w:eastAsia="fr-FR"/>
        </w:rPr>
      </w:pPr>
    </w:p>
    <w:p w:rsidR="0030586E" w:rsidRDefault="0030586E" w:rsidP="0030586E">
      <w:pPr>
        <w:pStyle w:val="Paragraphedeliste"/>
        <w:numPr>
          <w:ilvl w:val="0"/>
          <w:numId w:val="2"/>
        </w:numPr>
        <w:spacing w:after="0" w:line="240" w:lineRule="auto"/>
        <w:ind w:left="426"/>
        <w:jc w:val="both"/>
        <w:rPr>
          <w:rFonts w:eastAsia="Times New Roman"/>
          <w:color w:val="000000"/>
          <w:lang w:eastAsia="fr-FR"/>
        </w:rPr>
      </w:pPr>
      <w:r>
        <w:rPr>
          <w:rFonts w:eastAsia="Times New Roman"/>
          <w:color w:val="000000"/>
          <w:lang w:eastAsia="fr-FR"/>
        </w:rPr>
        <w:t>Le</w:t>
      </w:r>
      <w:r w:rsidRPr="0030586E">
        <w:rPr>
          <w:rFonts w:eastAsia="Times New Roman"/>
          <w:color w:val="000000"/>
          <w:lang w:eastAsia="fr-FR"/>
        </w:rPr>
        <w:t xml:space="preserve"> </w:t>
      </w:r>
      <w:r>
        <w:rPr>
          <w:rFonts w:eastAsia="Times New Roman"/>
          <w:color w:val="000000"/>
          <w:lang w:eastAsia="fr-FR"/>
        </w:rPr>
        <w:t>temps de déplacement,</w:t>
      </w:r>
    </w:p>
    <w:p w:rsidR="00210DC5" w:rsidRPr="00C52E4C" w:rsidRDefault="0030586E" w:rsidP="0030586E">
      <w:pPr>
        <w:pStyle w:val="Paragraphedeliste"/>
        <w:numPr>
          <w:ilvl w:val="0"/>
          <w:numId w:val="2"/>
        </w:numPr>
        <w:spacing w:after="0" w:line="240" w:lineRule="auto"/>
        <w:ind w:left="426"/>
        <w:jc w:val="both"/>
        <w:rPr>
          <w:rFonts w:eastAsia="Times New Roman"/>
          <w:color w:val="000000"/>
          <w:lang w:eastAsia="fr-FR"/>
        </w:rPr>
      </w:pPr>
      <w:r>
        <w:rPr>
          <w:rFonts w:eastAsia="Times New Roman"/>
          <w:color w:val="000000"/>
          <w:lang w:eastAsia="fr-FR"/>
        </w:rPr>
        <w:t>Le</w:t>
      </w:r>
      <w:r w:rsidR="00210DC5" w:rsidRPr="00C52E4C">
        <w:rPr>
          <w:rFonts w:eastAsia="Times New Roman"/>
          <w:color w:val="000000"/>
          <w:lang w:eastAsia="fr-FR"/>
        </w:rPr>
        <w:t>s nuitées</w:t>
      </w:r>
      <w:r w:rsidR="00776DD9">
        <w:rPr>
          <w:rFonts w:eastAsia="Times New Roman"/>
          <w:color w:val="000000"/>
          <w:lang w:eastAsia="fr-FR"/>
        </w:rPr>
        <w:t>,</w:t>
      </w:r>
    </w:p>
    <w:p w:rsidR="0087068B" w:rsidRPr="00C52E4C" w:rsidRDefault="0087068B" w:rsidP="0030586E">
      <w:pPr>
        <w:pStyle w:val="Paragraphedeliste"/>
        <w:numPr>
          <w:ilvl w:val="0"/>
          <w:numId w:val="2"/>
        </w:numPr>
        <w:spacing w:after="0" w:line="240" w:lineRule="auto"/>
        <w:ind w:left="426"/>
        <w:jc w:val="both"/>
        <w:rPr>
          <w:rFonts w:eastAsia="Times New Roman"/>
          <w:lang w:eastAsia="fr-FR"/>
        </w:rPr>
      </w:pPr>
      <w:r w:rsidRPr="00DD569B">
        <w:t xml:space="preserve">Les frais de </w:t>
      </w:r>
      <w:r w:rsidR="00F35FF2">
        <w:t>transport/</w:t>
      </w:r>
      <w:r w:rsidRPr="00DD569B">
        <w:t>déplacement pour les participants aux actions mises en place.</w:t>
      </w:r>
    </w:p>
    <w:p w:rsidR="0087068B" w:rsidRDefault="0087068B" w:rsidP="0030586E">
      <w:pPr>
        <w:spacing w:after="0" w:line="240" w:lineRule="auto"/>
        <w:ind w:firstLine="357"/>
        <w:jc w:val="both"/>
        <w:rPr>
          <w:rFonts w:eastAsia="Times New Roman"/>
          <w:color w:val="000000"/>
          <w:lang w:eastAsia="fr-FR"/>
        </w:rPr>
      </w:pPr>
    </w:p>
    <w:p w:rsidR="00F40E06" w:rsidRDefault="00F40E06" w:rsidP="00541A43">
      <w:pPr>
        <w:spacing w:after="0" w:line="240" w:lineRule="auto"/>
        <w:rPr>
          <w:rFonts w:eastAsia="Times New Roman"/>
          <w:color w:val="000000"/>
          <w:lang w:eastAsia="fr-FR"/>
        </w:rPr>
      </w:pPr>
    </w:p>
    <w:p w:rsidR="00541A43" w:rsidRPr="00AE4016" w:rsidRDefault="00541A43" w:rsidP="00541A43">
      <w:pPr>
        <w:tabs>
          <w:tab w:val="left" w:pos="4253"/>
        </w:tabs>
        <w:spacing w:after="0" w:line="264" w:lineRule="auto"/>
        <w:rPr>
          <w:rFonts w:eastAsia="Times New Roman"/>
          <w:b/>
          <w:bdr w:val="single" w:sz="4" w:space="0" w:color="auto"/>
          <w:lang w:eastAsia="fr-FR"/>
        </w:rPr>
      </w:pPr>
      <w:r>
        <w:rPr>
          <w:rFonts w:eastAsia="Times New Roman"/>
          <w:b/>
          <w:bdr w:val="single" w:sz="4" w:space="0" w:color="auto"/>
          <w:lang w:eastAsia="fr-FR"/>
        </w:rPr>
        <w:t xml:space="preserve">Outils/supports de communication et d’information en lien avec les actions de proximité </w:t>
      </w:r>
    </w:p>
    <w:p w:rsidR="00541A43" w:rsidRPr="00B2515A" w:rsidRDefault="00541A43" w:rsidP="00541A43">
      <w:pPr>
        <w:tabs>
          <w:tab w:val="left" w:pos="4253"/>
        </w:tabs>
        <w:autoSpaceDE w:val="0"/>
        <w:autoSpaceDN w:val="0"/>
        <w:adjustRightInd w:val="0"/>
        <w:spacing w:after="34"/>
        <w:rPr>
          <w:rFonts w:cs="Calibri"/>
          <w:b/>
          <w:color w:val="002060"/>
        </w:rPr>
      </w:pPr>
    </w:p>
    <w:p w:rsidR="00541A43" w:rsidRDefault="00541A43" w:rsidP="0030586E">
      <w:pPr>
        <w:tabs>
          <w:tab w:val="left" w:pos="4253"/>
        </w:tabs>
        <w:spacing w:after="0" w:line="264" w:lineRule="auto"/>
        <w:jc w:val="both"/>
        <w:rPr>
          <w:rFonts w:eastAsia="Times New Roman"/>
          <w:lang w:eastAsia="fr-FR"/>
        </w:rPr>
      </w:pPr>
      <w:r w:rsidRPr="00AE4016">
        <w:rPr>
          <w:rFonts w:eastAsia="Times New Roman"/>
          <w:lang w:eastAsia="fr-FR"/>
        </w:rPr>
        <w:t xml:space="preserve">L’utilisation des </w:t>
      </w:r>
      <w:r w:rsidRPr="00F64930">
        <w:rPr>
          <w:rFonts w:eastAsia="Times New Roman"/>
          <w:b/>
          <w:lang w:eastAsia="fr-FR"/>
        </w:rPr>
        <w:t>outils nationaux</w:t>
      </w:r>
      <w:r w:rsidRPr="00AE4016">
        <w:rPr>
          <w:rFonts w:eastAsia="Times New Roman"/>
          <w:lang w:eastAsia="fr-FR"/>
        </w:rPr>
        <w:t xml:space="preserve"> doit être priorisée. Le matériel élaboré par l’Assurance Maladie et Santé Publique France est mis à disposition des porteurs de projet.</w:t>
      </w:r>
    </w:p>
    <w:p w:rsidR="00541A43" w:rsidRPr="00DD569B" w:rsidRDefault="00541A43" w:rsidP="0030586E">
      <w:pPr>
        <w:spacing w:after="0" w:line="264" w:lineRule="auto"/>
        <w:jc w:val="both"/>
        <w:rPr>
          <w:rFonts w:eastAsia="Times New Roman"/>
          <w:lang w:eastAsia="fr-FR"/>
        </w:rPr>
      </w:pPr>
      <w:r w:rsidRPr="00DD569B">
        <w:rPr>
          <w:rFonts w:cs="Calibri"/>
          <w:lang w:eastAsia="fr-FR"/>
        </w:rPr>
        <w:t>Les outils nationaux contiennent les messages qu’il convient de relayer auprès des publics cibles. Ils ont fait l’objet de validation par les experts et les institutions</w:t>
      </w:r>
      <w:r w:rsidR="00776DD9">
        <w:rPr>
          <w:rFonts w:cs="Calibri"/>
          <w:lang w:eastAsia="fr-FR"/>
        </w:rPr>
        <w:t xml:space="preserve"> au niveau national</w:t>
      </w:r>
      <w:r w:rsidRPr="00DD569B">
        <w:rPr>
          <w:rFonts w:cs="Calibri"/>
          <w:lang w:eastAsia="fr-FR"/>
        </w:rPr>
        <w:t>. Si des outils ont été précédemment élaborés au niveau local et ont démontré leur efficacité, ils pourront cependant être réutilisés en complément</w:t>
      </w:r>
      <w:r>
        <w:rPr>
          <w:rFonts w:cs="Calibri"/>
          <w:lang w:eastAsia="fr-FR"/>
        </w:rPr>
        <w:t xml:space="preserve"> des outils nationaux</w:t>
      </w:r>
      <w:r w:rsidRPr="00DD569B">
        <w:rPr>
          <w:rFonts w:cs="Calibri"/>
          <w:lang w:eastAsia="fr-FR"/>
        </w:rPr>
        <w:t>. Dans tous les cas, leur utilisation et diffusion devront être accompagnées d’actions collectives de proximité.</w:t>
      </w:r>
    </w:p>
    <w:p w:rsidR="00541A43" w:rsidRDefault="00541A43" w:rsidP="0030586E">
      <w:pPr>
        <w:tabs>
          <w:tab w:val="left" w:pos="4253"/>
        </w:tabs>
        <w:spacing w:after="0" w:line="264" w:lineRule="auto"/>
        <w:jc w:val="both"/>
        <w:rPr>
          <w:rFonts w:eastAsia="Times New Roman"/>
          <w:highlight w:val="yellow"/>
          <w:lang w:eastAsia="fr-FR"/>
        </w:rPr>
      </w:pPr>
    </w:p>
    <w:p w:rsidR="00541A43" w:rsidRDefault="00541A43" w:rsidP="0030586E">
      <w:pPr>
        <w:spacing w:after="0" w:line="240" w:lineRule="auto"/>
        <w:jc w:val="both"/>
        <w:rPr>
          <w:b/>
          <w:color w:val="000000"/>
        </w:rPr>
      </w:pPr>
      <w:r w:rsidRPr="00C93847">
        <w:rPr>
          <w:b/>
          <w:color w:val="000000"/>
        </w:rPr>
        <w:t>Eligible</w:t>
      </w:r>
      <w:r>
        <w:rPr>
          <w:b/>
          <w:color w:val="000000"/>
        </w:rPr>
        <w:t xml:space="preserve">s </w:t>
      </w:r>
      <w:r w:rsidRPr="00C93847">
        <w:rPr>
          <w:b/>
          <w:color w:val="000000"/>
        </w:rPr>
        <w:t>a</w:t>
      </w:r>
      <w:r>
        <w:rPr>
          <w:b/>
          <w:color w:val="000000"/>
        </w:rPr>
        <w:t xml:space="preserve">u financement dans les conditions suivantes </w:t>
      </w:r>
      <w:r w:rsidRPr="00C93847">
        <w:rPr>
          <w:b/>
          <w:color w:val="000000"/>
        </w:rPr>
        <w:t>:</w:t>
      </w:r>
    </w:p>
    <w:p w:rsidR="00541A43" w:rsidRPr="00C93847" w:rsidRDefault="00541A43" w:rsidP="0030586E">
      <w:pPr>
        <w:spacing w:after="0" w:line="240" w:lineRule="auto"/>
        <w:jc w:val="both"/>
        <w:rPr>
          <w:rFonts w:eastAsia="Times New Roman"/>
          <w:b/>
          <w:color w:val="000000"/>
          <w:lang w:eastAsia="fr-FR"/>
        </w:rPr>
      </w:pPr>
    </w:p>
    <w:p w:rsidR="00541A43" w:rsidRPr="00541A43" w:rsidRDefault="00541A43" w:rsidP="0030586E">
      <w:pPr>
        <w:pStyle w:val="Paragraphedeliste"/>
        <w:numPr>
          <w:ilvl w:val="0"/>
          <w:numId w:val="2"/>
        </w:numPr>
        <w:spacing w:after="0" w:line="240" w:lineRule="auto"/>
        <w:ind w:left="426"/>
        <w:jc w:val="both"/>
        <w:rPr>
          <w:rFonts w:eastAsia="Times New Roman"/>
          <w:color w:val="000000"/>
          <w:lang w:eastAsia="fr-FR"/>
        </w:rPr>
      </w:pPr>
      <w:r>
        <w:rPr>
          <w:rFonts w:eastAsia="Times New Roman"/>
          <w:color w:val="000000"/>
          <w:lang w:eastAsia="fr-FR"/>
        </w:rPr>
        <w:t>les outils/supports</w:t>
      </w:r>
      <w:r w:rsidRPr="00541A43">
        <w:rPr>
          <w:rFonts w:eastAsia="Times New Roman"/>
          <w:color w:val="000000"/>
          <w:lang w:eastAsia="fr-FR"/>
        </w:rPr>
        <w:t xml:space="preserve"> n’existent pas </w:t>
      </w:r>
      <w:r>
        <w:rPr>
          <w:rFonts w:eastAsia="Times New Roman"/>
          <w:color w:val="000000"/>
          <w:lang w:eastAsia="fr-FR"/>
        </w:rPr>
        <w:t>(</w:t>
      </w:r>
      <w:r w:rsidRPr="00541A43">
        <w:rPr>
          <w:rFonts w:eastAsia="Times New Roman"/>
          <w:color w:val="000000"/>
          <w:lang w:eastAsia="fr-FR"/>
        </w:rPr>
        <w:t xml:space="preserve">cas particulier </w:t>
      </w:r>
      <w:r>
        <w:rPr>
          <w:rFonts w:eastAsia="Times New Roman"/>
          <w:color w:val="000000"/>
          <w:lang w:eastAsia="fr-FR"/>
        </w:rPr>
        <w:t xml:space="preserve">des </w:t>
      </w:r>
      <w:r w:rsidRPr="00541A43">
        <w:rPr>
          <w:rFonts w:eastAsia="Times New Roman"/>
          <w:color w:val="000000"/>
          <w:lang w:eastAsia="fr-FR"/>
        </w:rPr>
        <w:t>DOM</w:t>
      </w:r>
      <w:r>
        <w:rPr>
          <w:rFonts w:eastAsia="Times New Roman"/>
          <w:color w:val="000000"/>
          <w:lang w:eastAsia="fr-FR"/>
        </w:rPr>
        <w:t>) et</w:t>
      </w:r>
      <w:r w:rsidRPr="00541A43">
        <w:rPr>
          <w:rFonts w:eastAsia="Times New Roman"/>
          <w:color w:val="000000"/>
          <w:lang w:eastAsia="fr-FR"/>
        </w:rPr>
        <w:t xml:space="preserve"> </w:t>
      </w:r>
      <w:r w:rsidRPr="00541A43">
        <w:rPr>
          <w:rFonts w:eastAsia="Times New Roman"/>
          <w:b/>
          <w:color w:val="000000"/>
          <w:lang w:eastAsia="fr-FR"/>
        </w:rPr>
        <w:t>sous réserve d’une validation</w:t>
      </w:r>
      <w:r>
        <w:rPr>
          <w:rFonts w:eastAsia="Times New Roman"/>
          <w:b/>
          <w:color w:val="000000"/>
          <w:lang w:eastAsia="fr-FR"/>
        </w:rPr>
        <w:t xml:space="preserve"> de leur contenu</w:t>
      </w:r>
      <w:r w:rsidRPr="00541A43">
        <w:rPr>
          <w:rFonts w:eastAsia="Times New Roman"/>
          <w:b/>
          <w:color w:val="000000"/>
          <w:lang w:eastAsia="fr-FR"/>
        </w:rPr>
        <w:t xml:space="preserve"> par la CNAM</w:t>
      </w:r>
      <w:r w:rsidR="004152E3">
        <w:rPr>
          <w:rFonts w:eastAsia="Times New Roman"/>
          <w:b/>
          <w:color w:val="000000"/>
          <w:lang w:eastAsia="fr-FR"/>
        </w:rPr>
        <w:t>,</w:t>
      </w:r>
      <w:r w:rsidRPr="00541A43">
        <w:rPr>
          <w:rFonts w:eastAsia="Times New Roman"/>
          <w:color w:val="000000"/>
          <w:lang w:eastAsia="fr-FR"/>
        </w:rPr>
        <w:t xml:space="preserve"> et </w:t>
      </w:r>
      <w:r>
        <w:rPr>
          <w:rFonts w:eastAsia="Times New Roman"/>
          <w:color w:val="000000"/>
          <w:lang w:eastAsia="fr-FR"/>
        </w:rPr>
        <w:t>qu’ils soient</w:t>
      </w:r>
      <w:r w:rsidRPr="00541A43">
        <w:rPr>
          <w:rFonts w:eastAsia="Times New Roman"/>
          <w:color w:val="000000"/>
          <w:lang w:eastAsia="fr-FR"/>
        </w:rPr>
        <w:t xml:space="preserve"> accompagnés d’actions de proximité</w:t>
      </w:r>
      <w:r w:rsidR="004152E3">
        <w:rPr>
          <w:rFonts w:eastAsia="Times New Roman"/>
          <w:color w:val="000000"/>
          <w:lang w:eastAsia="fr-FR"/>
        </w:rPr>
        <w:t>,</w:t>
      </w:r>
    </w:p>
    <w:p w:rsidR="00541A43" w:rsidRPr="004152E3" w:rsidRDefault="004152E3" w:rsidP="0030586E">
      <w:pPr>
        <w:pStyle w:val="Paragraphedeliste"/>
        <w:numPr>
          <w:ilvl w:val="0"/>
          <w:numId w:val="2"/>
        </w:numPr>
        <w:spacing w:before="60" w:after="0" w:line="240" w:lineRule="auto"/>
        <w:ind w:left="426"/>
        <w:jc w:val="both"/>
        <w:rPr>
          <w:rFonts w:eastAsia="Times New Roman" w:cs="Calibri"/>
          <w:color w:val="000000"/>
          <w:lang w:eastAsia="fr-FR"/>
        </w:rPr>
      </w:pPr>
      <w:r>
        <w:rPr>
          <w:rFonts w:eastAsia="Times New Roman" w:cs="Calibri"/>
          <w:color w:val="000000"/>
          <w:lang w:eastAsia="fr-FR"/>
        </w:rPr>
        <w:t xml:space="preserve">les </w:t>
      </w:r>
      <w:r w:rsidR="00541A43" w:rsidRPr="004152E3">
        <w:rPr>
          <w:rFonts w:eastAsia="Times New Roman" w:cs="Calibri"/>
          <w:color w:val="000000"/>
          <w:lang w:eastAsia="fr-FR"/>
        </w:rPr>
        <w:t>supports spécifiques destinés à informer de la tenue d’actions collectives de proximité (ex: invitation à des ateliers, information sur l’action).</w:t>
      </w:r>
    </w:p>
    <w:p w:rsidR="00541A43" w:rsidRPr="00C93847" w:rsidRDefault="00541A43" w:rsidP="0030586E">
      <w:pPr>
        <w:spacing w:after="0" w:line="264" w:lineRule="auto"/>
        <w:ind w:left="426" w:firstLine="360"/>
        <w:jc w:val="both"/>
        <w:rPr>
          <w:rFonts w:eastAsia="Times New Roman"/>
          <w:b/>
          <w:color w:val="000000"/>
          <w:lang w:eastAsia="fr-FR"/>
        </w:rPr>
      </w:pPr>
    </w:p>
    <w:p w:rsidR="00541A43" w:rsidRDefault="00541A43" w:rsidP="0030586E">
      <w:pPr>
        <w:spacing w:after="0" w:line="240" w:lineRule="auto"/>
        <w:ind w:right="260"/>
        <w:jc w:val="both"/>
        <w:rPr>
          <w:rFonts w:eastAsia="Times New Roman"/>
          <w:b/>
          <w:lang w:eastAsia="fr-FR"/>
        </w:rPr>
      </w:pPr>
      <w:r w:rsidRPr="00DD569B">
        <w:rPr>
          <w:rFonts w:eastAsia="Times New Roman"/>
          <w:b/>
          <w:lang w:eastAsia="fr-FR"/>
        </w:rPr>
        <w:t>Non éligible</w:t>
      </w:r>
      <w:r>
        <w:rPr>
          <w:rFonts w:eastAsia="Times New Roman"/>
          <w:b/>
          <w:lang w:eastAsia="fr-FR"/>
        </w:rPr>
        <w:t>s</w:t>
      </w:r>
      <w:r w:rsidRPr="00DD569B">
        <w:rPr>
          <w:rFonts w:eastAsia="Times New Roman"/>
          <w:b/>
          <w:lang w:eastAsia="fr-FR"/>
        </w:rPr>
        <w:t xml:space="preserve"> au financement</w:t>
      </w:r>
      <w:r>
        <w:rPr>
          <w:rFonts w:eastAsia="Times New Roman"/>
          <w:b/>
          <w:lang w:eastAsia="fr-FR"/>
        </w:rPr>
        <w:t> :</w:t>
      </w:r>
    </w:p>
    <w:p w:rsidR="00541A43" w:rsidRPr="00DD569B" w:rsidRDefault="00541A43" w:rsidP="0030586E">
      <w:pPr>
        <w:spacing w:after="0" w:line="240" w:lineRule="auto"/>
        <w:ind w:right="260"/>
        <w:jc w:val="both"/>
        <w:rPr>
          <w:rFonts w:eastAsia="Times New Roman"/>
          <w:b/>
          <w:lang w:eastAsia="fr-FR"/>
        </w:rPr>
      </w:pPr>
    </w:p>
    <w:p w:rsidR="00541A43" w:rsidRDefault="004152E3" w:rsidP="0030586E">
      <w:pPr>
        <w:numPr>
          <w:ilvl w:val="0"/>
          <w:numId w:val="76"/>
        </w:numPr>
        <w:spacing w:after="0" w:line="264" w:lineRule="auto"/>
        <w:ind w:left="426"/>
        <w:jc w:val="both"/>
        <w:rPr>
          <w:rFonts w:eastAsia="Times New Roman"/>
          <w:lang w:eastAsia="fr-FR"/>
        </w:rPr>
      </w:pPr>
      <w:r>
        <w:rPr>
          <w:rFonts w:eastAsia="Times New Roman"/>
          <w:lang w:eastAsia="fr-FR"/>
        </w:rPr>
        <w:t>l</w:t>
      </w:r>
      <w:r w:rsidR="00541A43" w:rsidRPr="00DD569B">
        <w:rPr>
          <w:rFonts w:eastAsia="Times New Roman"/>
          <w:lang w:eastAsia="fr-FR"/>
        </w:rPr>
        <w:t>’impression d</w:t>
      </w:r>
      <w:r>
        <w:rPr>
          <w:rFonts w:eastAsia="Times New Roman"/>
          <w:lang w:eastAsia="fr-FR"/>
        </w:rPr>
        <w:t>’</w:t>
      </w:r>
      <w:r w:rsidR="00541A43" w:rsidRPr="00DD569B">
        <w:rPr>
          <w:rFonts w:eastAsia="Times New Roman"/>
          <w:lang w:eastAsia="fr-FR"/>
        </w:rPr>
        <w:t>outils nationaux</w:t>
      </w:r>
      <w:r>
        <w:rPr>
          <w:rFonts w:eastAsia="Times New Roman"/>
          <w:lang w:eastAsia="fr-FR"/>
        </w:rPr>
        <w:t>,</w:t>
      </w:r>
      <w:r w:rsidR="00541A43" w:rsidRPr="00DD569B">
        <w:rPr>
          <w:rFonts w:eastAsia="Times New Roman"/>
          <w:lang w:eastAsia="fr-FR"/>
        </w:rPr>
        <w:t xml:space="preserve"> car ils sont fournis à titre gratuit</w:t>
      </w:r>
      <w:r>
        <w:rPr>
          <w:rFonts w:eastAsia="Times New Roman"/>
          <w:lang w:eastAsia="fr-FR"/>
        </w:rPr>
        <w:t>,</w:t>
      </w:r>
    </w:p>
    <w:p w:rsidR="004152E3" w:rsidRPr="00DD569B" w:rsidRDefault="004152E3" w:rsidP="0030586E">
      <w:pPr>
        <w:numPr>
          <w:ilvl w:val="0"/>
          <w:numId w:val="76"/>
        </w:numPr>
        <w:spacing w:after="0" w:line="264" w:lineRule="auto"/>
        <w:ind w:left="426"/>
        <w:jc w:val="both"/>
        <w:rPr>
          <w:rFonts w:eastAsia="Times New Roman"/>
          <w:lang w:eastAsia="fr-FR"/>
        </w:rPr>
      </w:pPr>
      <w:r>
        <w:rPr>
          <w:rFonts w:eastAsia="Times New Roman"/>
          <w:lang w:eastAsia="fr-FR"/>
        </w:rPr>
        <w:t>les supports de promotion d’une structure,</w:t>
      </w:r>
      <w:r w:rsidR="001A61AE">
        <w:rPr>
          <w:rFonts w:eastAsia="Times New Roman"/>
          <w:lang w:eastAsia="fr-FR"/>
        </w:rPr>
        <w:t xml:space="preserve"> outils/documents relatifs à l’activité d’une structure en particulier (flyers sur les horaires de permanence),</w:t>
      </w:r>
    </w:p>
    <w:p w:rsidR="00541A43" w:rsidRDefault="004152E3" w:rsidP="0030586E">
      <w:pPr>
        <w:numPr>
          <w:ilvl w:val="0"/>
          <w:numId w:val="76"/>
        </w:numPr>
        <w:spacing w:after="0" w:line="264" w:lineRule="auto"/>
        <w:ind w:left="426"/>
        <w:jc w:val="both"/>
        <w:rPr>
          <w:rFonts w:eastAsia="Times New Roman"/>
          <w:lang w:eastAsia="fr-FR"/>
        </w:rPr>
      </w:pPr>
      <w:r>
        <w:rPr>
          <w:rFonts w:eastAsia="Times New Roman"/>
          <w:lang w:eastAsia="fr-FR"/>
        </w:rPr>
        <w:t>la c</w:t>
      </w:r>
      <w:r w:rsidR="00541A43" w:rsidRPr="00DD569B">
        <w:rPr>
          <w:rFonts w:eastAsia="Times New Roman"/>
          <w:lang w:eastAsia="fr-FR"/>
        </w:rPr>
        <w:t>réation</w:t>
      </w:r>
      <w:r w:rsidR="00A74417">
        <w:rPr>
          <w:rFonts w:eastAsia="Times New Roman"/>
          <w:lang w:eastAsia="fr-FR"/>
        </w:rPr>
        <w:t>, achat, location, diffusion</w:t>
      </w:r>
      <w:r w:rsidR="00541A43" w:rsidRPr="00DD569B">
        <w:rPr>
          <w:rFonts w:eastAsia="Times New Roman"/>
          <w:lang w:eastAsia="fr-FR"/>
        </w:rPr>
        <w:t xml:space="preserve"> d’outils :</w:t>
      </w:r>
      <w:r w:rsidR="00A74417">
        <w:rPr>
          <w:rFonts w:eastAsia="Times New Roman"/>
          <w:lang w:eastAsia="fr-FR"/>
        </w:rPr>
        <w:t xml:space="preserve"> roue de la santé,</w:t>
      </w:r>
      <w:r w:rsidR="0030586E">
        <w:rPr>
          <w:rFonts w:eastAsia="Times New Roman"/>
          <w:lang w:eastAsia="fr-FR"/>
        </w:rPr>
        <w:t xml:space="preserve"> </w:t>
      </w:r>
      <w:r w:rsidR="00A74417">
        <w:rPr>
          <w:rFonts w:eastAsia="Times New Roman"/>
          <w:lang w:eastAsia="fr-FR"/>
        </w:rPr>
        <w:t>quizz, jeux de cartes,</w:t>
      </w:r>
      <w:r w:rsidR="00541A43" w:rsidRPr="00DD569B">
        <w:rPr>
          <w:rFonts w:eastAsia="Times New Roman"/>
          <w:lang w:eastAsia="fr-FR"/>
        </w:rPr>
        <w:t xml:space="preserve"> flyers, affiches, jeux</w:t>
      </w:r>
      <w:r w:rsidR="00A74417">
        <w:rPr>
          <w:rFonts w:eastAsia="Times New Roman"/>
          <w:lang w:eastAsia="fr-FR"/>
        </w:rPr>
        <w:t xml:space="preserve"> divers</w:t>
      </w:r>
      <w:r w:rsidR="00541A43" w:rsidRPr="00DD569B">
        <w:rPr>
          <w:rFonts w:eastAsia="Times New Roman"/>
          <w:lang w:eastAsia="fr-FR"/>
        </w:rPr>
        <w:t>….</w:t>
      </w:r>
      <w:r>
        <w:rPr>
          <w:rFonts w:eastAsia="Times New Roman"/>
          <w:lang w:eastAsia="fr-FR"/>
        </w:rPr>
        <w:t>,</w:t>
      </w:r>
    </w:p>
    <w:p w:rsidR="00541A43" w:rsidRPr="00DD569B" w:rsidRDefault="004152E3" w:rsidP="0030586E">
      <w:pPr>
        <w:numPr>
          <w:ilvl w:val="0"/>
          <w:numId w:val="76"/>
        </w:numPr>
        <w:spacing w:after="0" w:line="264" w:lineRule="auto"/>
        <w:ind w:left="426"/>
        <w:jc w:val="both"/>
        <w:rPr>
          <w:rFonts w:eastAsia="Times New Roman"/>
          <w:lang w:eastAsia="fr-FR"/>
        </w:rPr>
      </w:pPr>
      <w:r>
        <w:rPr>
          <w:rFonts w:eastAsia="Times New Roman"/>
          <w:lang w:eastAsia="fr-FR"/>
        </w:rPr>
        <w:t>L’a</w:t>
      </w:r>
      <w:r w:rsidR="00541A43" w:rsidRPr="00DD569B">
        <w:rPr>
          <w:rFonts w:eastAsia="Times New Roman"/>
          <w:lang w:eastAsia="fr-FR"/>
        </w:rPr>
        <w:t>chat d’espace (presse, radio, TV</w:t>
      </w:r>
      <w:r>
        <w:rPr>
          <w:rFonts w:eastAsia="Times New Roman"/>
          <w:lang w:eastAsia="fr-FR"/>
        </w:rPr>
        <w:t>, cinéma, affichage urbain, diffusion sur réseaux sociaux, …),</w:t>
      </w:r>
    </w:p>
    <w:p w:rsidR="00541A43" w:rsidRPr="00DD569B" w:rsidRDefault="004152E3" w:rsidP="0030586E">
      <w:pPr>
        <w:numPr>
          <w:ilvl w:val="0"/>
          <w:numId w:val="76"/>
        </w:numPr>
        <w:spacing w:after="0" w:line="264" w:lineRule="auto"/>
        <w:ind w:left="426"/>
        <w:jc w:val="both"/>
        <w:rPr>
          <w:rFonts w:eastAsia="Times New Roman"/>
          <w:lang w:eastAsia="fr-FR"/>
        </w:rPr>
      </w:pPr>
      <w:r>
        <w:rPr>
          <w:rFonts w:eastAsia="Times New Roman"/>
          <w:lang w:eastAsia="fr-FR"/>
        </w:rPr>
        <w:t>Les f</w:t>
      </w:r>
      <w:r w:rsidR="00541A43" w:rsidRPr="00DD569B">
        <w:rPr>
          <w:rFonts w:eastAsia="Times New Roman"/>
          <w:lang w:eastAsia="fr-FR"/>
        </w:rPr>
        <w:t xml:space="preserve">rais relatifs aux relations </w:t>
      </w:r>
      <w:proofErr w:type="gramStart"/>
      <w:r w:rsidR="00541A43" w:rsidRPr="00DD569B">
        <w:rPr>
          <w:rFonts w:eastAsia="Times New Roman"/>
          <w:lang w:eastAsia="fr-FR"/>
        </w:rPr>
        <w:t>presse</w:t>
      </w:r>
      <w:proofErr w:type="gramEnd"/>
      <w:r>
        <w:rPr>
          <w:rFonts w:eastAsia="Times New Roman"/>
          <w:lang w:eastAsia="fr-FR"/>
        </w:rPr>
        <w:t>,</w:t>
      </w:r>
    </w:p>
    <w:p w:rsidR="00541A43" w:rsidRPr="00DD569B" w:rsidRDefault="00541A43" w:rsidP="0030586E">
      <w:pPr>
        <w:numPr>
          <w:ilvl w:val="0"/>
          <w:numId w:val="76"/>
        </w:numPr>
        <w:spacing w:after="0" w:line="264" w:lineRule="auto"/>
        <w:ind w:left="426"/>
        <w:jc w:val="both"/>
        <w:rPr>
          <w:rFonts w:eastAsia="Times New Roman"/>
          <w:lang w:eastAsia="fr-FR"/>
        </w:rPr>
      </w:pPr>
      <w:r w:rsidRPr="00DD569B">
        <w:rPr>
          <w:rFonts w:eastAsia="Times New Roman"/>
          <w:lang w:eastAsia="fr-FR"/>
        </w:rPr>
        <w:t xml:space="preserve">Les supports numériques (applications pour smartphones, e-learning, escape </w:t>
      </w:r>
      <w:proofErr w:type="spellStart"/>
      <w:r w:rsidRPr="00DD569B">
        <w:rPr>
          <w:rFonts w:eastAsia="Times New Roman"/>
          <w:lang w:eastAsia="fr-FR"/>
        </w:rPr>
        <w:t>games</w:t>
      </w:r>
      <w:proofErr w:type="spellEnd"/>
      <w:r w:rsidRPr="00DD569B">
        <w:rPr>
          <w:rFonts w:eastAsia="Times New Roman"/>
          <w:lang w:eastAsia="fr-FR"/>
        </w:rPr>
        <w:t>, création de chaîne You tube, frais liés à l’organisation de webinaires)</w:t>
      </w:r>
      <w:r w:rsidR="004152E3">
        <w:rPr>
          <w:rFonts w:eastAsia="Times New Roman"/>
          <w:lang w:eastAsia="fr-FR"/>
        </w:rPr>
        <w:t>,</w:t>
      </w:r>
      <w:r w:rsidR="0030586E">
        <w:rPr>
          <w:rFonts w:eastAsia="Times New Roman"/>
          <w:lang w:eastAsia="fr-FR"/>
        </w:rPr>
        <w:t xml:space="preserve"> </w:t>
      </w:r>
      <w:r w:rsidR="00A74417">
        <w:rPr>
          <w:rFonts w:eastAsia="Times New Roman"/>
          <w:lang w:eastAsia="fr-FR"/>
        </w:rPr>
        <w:t>créations pour les réseaux sociaux,</w:t>
      </w:r>
    </w:p>
    <w:p w:rsidR="00AD6E8B" w:rsidRPr="00AD6E8B" w:rsidRDefault="00541A43" w:rsidP="0030586E">
      <w:pPr>
        <w:numPr>
          <w:ilvl w:val="0"/>
          <w:numId w:val="76"/>
        </w:numPr>
        <w:spacing w:after="0" w:line="264" w:lineRule="auto"/>
        <w:ind w:left="426"/>
        <w:jc w:val="both"/>
        <w:rPr>
          <w:rFonts w:eastAsia="Times New Roman"/>
          <w:lang w:eastAsia="fr-FR"/>
        </w:rPr>
      </w:pPr>
      <w:r w:rsidRPr="00DD569B">
        <w:rPr>
          <w:rFonts w:cs="Calibri"/>
          <w:lang w:eastAsia="fr-FR"/>
        </w:rPr>
        <w:t>messages radio, vidéo, photo expression, micro trottoir, film,</w:t>
      </w:r>
      <w:r w:rsidR="00A74417">
        <w:rPr>
          <w:rFonts w:cs="Calibri"/>
          <w:lang w:eastAsia="fr-FR"/>
        </w:rPr>
        <w:t xml:space="preserve"> exposition,</w:t>
      </w:r>
      <w:r w:rsidRPr="00DD569B">
        <w:rPr>
          <w:rFonts w:cs="Calibri"/>
          <w:lang w:eastAsia="fr-FR"/>
        </w:rPr>
        <w:t xml:space="preserve"> etc…, </w:t>
      </w:r>
      <w:r w:rsidR="004152E3">
        <w:rPr>
          <w:rFonts w:cs="Calibri"/>
          <w:lang w:eastAsia="fr-FR"/>
        </w:rPr>
        <w:t>lorsque</w:t>
      </w:r>
      <w:r w:rsidR="004152E3" w:rsidRPr="00DD569B">
        <w:rPr>
          <w:rFonts w:cs="Calibri"/>
          <w:lang w:eastAsia="fr-FR"/>
        </w:rPr>
        <w:t xml:space="preserve"> </w:t>
      </w:r>
      <w:r w:rsidRPr="00DD569B">
        <w:rPr>
          <w:rFonts w:cs="Calibri"/>
          <w:lang w:eastAsia="fr-FR"/>
        </w:rPr>
        <w:t>ces activités ne sont pas réalisées par le public cible</w:t>
      </w:r>
      <w:r w:rsidR="00A74417">
        <w:rPr>
          <w:rFonts w:cs="Calibri"/>
          <w:lang w:eastAsia="fr-FR"/>
        </w:rPr>
        <w:t xml:space="preserve"> </w:t>
      </w:r>
      <w:r w:rsidR="00D4270A">
        <w:rPr>
          <w:rFonts w:cs="Calibri"/>
          <w:lang w:eastAsia="fr-FR"/>
        </w:rPr>
        <w:t>et</w:t>
      </w:r>
      <w:r w:rsidRPr="00DD569B">
        <w:rPr>
          <w:rFonts w:cs="Calibri"/>
          <w:lang w:eastAsia="fr-FR"/>
        </w:rPr>
        <w:t xml:space="preserve"> qu’elles ne sont pas accompagnées de </w:t>
      </w:r>
      <w:r w:rsidRPr="00DD569B">
        <w:rPr>
          <w:rFonts w:cs="Calibri"/>
          <w:lang w:eastAsia="fr-FR"/>
        </w:rPr>
        <w:lastRenderedPageBreak/>
        <w:t>séances pédagogiques collectives</w:t>
      </w:r>
      <w:r w:rsidR="00A74417">
        <w:rPr>
          <w:rFonts w:cs="Calibri"/>
          <w:lang w:eastAsia="fr-FR"/>
        </w:rPr>
        <w:t xml:space="preserve"> de proximité sur le même périmètre et programmées dans un délai </w:t>
      </w:r>
      <w:r w:rsidR="001A61AE">
        <w:rPr>
          <w:rFonts w:cs="Calibri"/>
          <w:lang w:eastAsia="fr-FR"/>
        </w:rPr>
        <w:t>proche (au cours de l’année)</w:t>
      </w:r>
      <w:r w:rsidR="00AD6E8B">
        <w:rPr>
          <w:rFonts w:cs="Calibri"/>
          <w:lang w:eastAsia="fr-FR"/>
        </w:rPr>
        <w:t>.</w:t>
      </w:r>
    </w:p>
    <w:p w:rsidR="00871D82" w:rsidRPr="0030586E" w:rsidRDefault="00871D82" w:rsidP="00AD6E8B">
      <w:pPr>
        <w:spacing w:after="0" w:line="264" w:lineRule="auto"/>
        <w:ind w:left="426"/>
        <w:jc w:val="both"/>
        <w:rPr>
          <w:rFonts w:eastAsia="Times New Roman"/>
          <w:lang w:eastAsia="fr-FR"/>
        </w:rPr>
      </w:pPr>
    </w:p>
    <w:p w:rsidR="00541A43" w:rsidRDefault="00541A43" w:rsidP="00FD7331">
      <w:pPr>
        <w:spacing w:after="0" w:line="240" w:lineRule="auto"/>
        <w:rPr>
          <w:rFonts w:eastAsia="Times New Roman"/>
          <w:color w:val="000000"/>
          <w:lang w:eastAsia="fr-FR"/>
        </w:rPr>
      </w:pPr>
    </w:p>
    <w:p w:rsidR="00AD6E8B" w:rsidRDefault="00AD6E8B" w:rsidP="00AD6E8B">
      <w:pPr>
        <w:tabs>
          <w:tab w:val="left" w:pos="4536"/>
        </w:tabs>
        <w:spacing w:after="0" w:line="240" w:lineRule="auto"/>
        <w:rPr>
          <w:b/>
          <w:szCs w:val="24"/>
        </w:rPr>
      </w:pPr>
      <w:r w:rsidRPr="00AE4016">
        <w:rPr>
          <w:b/>
          <w:bdr w:val="single" w:sz="4" w:space="0" w:color="auto"/>
        </w:rPr>
        <w:t>Suivi/Evaluation</w:t>
      </w:r>
      <w:r>
        <w:rPr>
          <w:b/>
          <w:bdr w:val="single" w:sz="4" w:space="0" w:color="auto"/>
        </w:rPr>
        <w:t xml:space="preserve"> des actions</w:t>
      </w:r>
      <w:r w:rsidRPr="00AE4016">
        <w:rPr>
          <w:b/>
        </w:rPr>
        <w:t> </w:t>
      </w:r>
    </w:p>
    <w:p w:rsidR="00AD6E8B" w:rsidRDefault="00AD6E8B" w:rsidP="00AD6E8B">
      <w:pPr>
        <w:tabs>
          <w:tab w:val="left" w:pos="4536"/>
        </w:tabs>
        <w:spacing w:after="0" w:line="240" w:lineRule="auto"/>
        <w:jc w:val="both"/>
        <w:rPr>
          <w:b/>
          <w:szCs w:val="24"/>
        </w:rPr>
      </w:pPr>
    </w:p>
    <w:p w:rsidR="00AD6E8B" w:rsidRPr="00AE4016" w:rsidRDefault="00AD6E8B" w:rsidP="00AD6E8B">
      <w:pPr>
        <w:tabs>
          <w:tab w:val="left" w:pos="4536"/>
        </w:tabs>
        <w:spacing w:after="0" w:line="240" w:lineRule="auto"/>
        <w:jc w:val="both"/>
        <w:rPr>
          <w:b/>
          <w:szCs w:val="24"/>
        </w:rPr>
      </w:pPr>
      <w:r w:rsidRPr="00AE4016">
        <w:rPr>
          <w:b/>
          <w:szCs w:val="24"/>
        </w:rPr>
        <w:t>Eligible</w:t>
      </w:r>
      <w:r>
        <w:rPr>
          <w:b/>
          <w:szCs w:val="24"/>
        </w:rPr>
        <w:t>s</w:t>
      </w:r>
      <w:r w:rsidRPr="00AE4016">
        <w:rPr>
          <w:b/>
          <w:szCs w:val="24"/>
        </w:rPr>
        <w:t xml:space="preserve"> au financement</w:t>
      </w:r>
      <w:r>
        <w:rPr>
          <w:b/>
          <w:szCs w:val="24"/>
        </w:rPr>
        <w:t xml:space="preserve"> dans les conditions suivantes</w:t>
      </w:r>
      <w:r w:rsidRPr="00AE4016">
        <w:rPr>
          <w:b/>
          <w:szCs w:val="24"/>
        </w:rPr>
        <w:t> :</w:t>
      </w:r>
    </w:p>
    <w:p w:rsidR="00AD6E8B" w:rsidRDefault="00AD6E8B" w:rsidP="00AD6E8B">
      <w:pPr>
        <w:tabs>
          <w:tab w:val="left" w:pos="4536"/>
        </w:tabs>
        <w:spacing w:after="0" w:line="240" w:lineRule="auto"/>
        <w:jc w:val="both"/>
        <w:rPr>
          <w:szCs w:val="24"/>
        </w:rPr>
      </w:pPr>
    </w:p>
    <w:p w:rsidR="00AD6E8B" w:rsidRPr="00AE4016" w:rsidRDefault="00AD6E8B" w:rsidP="00AD6E8B">
      <w:pPr>
        <w:tabs>
          <w:tab w:val="left" w:pos="4536"/>
        </w:tabs>
        <w:spacing w:after="0" w:line="240" w:lineRule="auto"/>
        <w:jc w:val="both"/>
        <w:rPr>
          <w:szCs w:val="24"/>
        </w:rPr>
      </w:pPr>
      <w:r w:rsidRPr="00AE4016">
        <w:rPr>
          <w:szCs w:val="24"/>
        </w:rPr>
        <w:t xml:space="preserve">Le budget de l’évaluation doit être distinct de celui de l’action, et présenté par poste de dépenses. </w:t>
      </w:r>
    </w:p>
    <w:p w:rsidR="00AD6E8B" w:rsidRDefault="00AD6E8B" w:rsidP="00AD6E8B">
      <w:pPr>
        <w:tabs>
          <w:tab w:val="left" w:pos="4536"/>
        </w:tabs>
        <w:spacing w:after="0" w:line="240" w:lineRule="auto"/>
        <w:jc w:val="both"/>
        <w:rPr>
          <w:szCs w:val="24"/>
        </w:rPr>
      </w:pPr>
      <w:r w:rsidRPr="00AE4016">
        <w:rPr>
          <w:szCs w:val="24"/>
        </w:rPr>
        <w:t xml:space="preserve">Le coût de l’évaluation doit être étudié en fonction de l’importance de l’action. Il doit être raisonnable et </w:t>
      </w:r>
      <w:r>
        <w:rPr>
          <w:szCs w:val="24"/>
        </w:rPr>
        <w:t>en tout état de</w:t>
      </w:r>
      <w:r w:rsidRPr="00AE4016">
        <w:rPr>
          <w:szCs w:val="24"/>
        </w:rPr>
        <w:t xml:space="preserve"> ca</w:t>
      </w:r>
      <w:r>
        <w:rPr>
          <w:szCs w:val="24"/>
        </w:rPr>
        <w:t>u</w:t>
      </w:r>
      <w:r w:rsidRPr="00AE4016">
        <w:rPr>
          <w:szCs w:val="24"/>
        </w:rPr>
        <w:t>s</w:t>
      </w:r>
      <w:r>
        <w:rPr>
          <w:szCs w:val="24"/>
        </w:rPr>
        <w:t>e</w:t>
      </w:r>
      <w:r w:rsidRPr="00AE4016">
        <w:rPr>
          <w:szCs w:val="24"/>
        </w:rPr>
        <w:t xml:space="preserve"> inférieur ou égal à 5% du montant </w:t>
      </w:r>
      <w:r>
        <w:rPr>
          <w:szCs w:val="24"/>
        </w:rPr>
        <w:t xml:space="preserve">alloué par </w:t>
      </w:r>
      <w:r w:rsidRPr="00AE4016">
        <w:rPr>
          <w:szCs w:val="24"/>
        </w:rPr>
        <w:t xml:space="preserve"> l’Assurance Maladie</w:t>
      </w:r>
      <w:r>
        <w:rPr>
          <w:szCs w:val="24"/>
        </w:rPr>
        <w:t xml:space="preserve"> pour l’action.</w:t>
      </w:r>
    </w:p>
    <w:p w:rsidR="00AD6E8B" w:rsidRDefault="00AD6E8B" w:rsidP="00B66856">
      <w:pPr>
        <w:tabs>
          <w:tab w:val="left" w:pos="4536"/>
        </w:tabs>
        <w:spacing w:after="0" w:line="240" w:lineRule="auto"/>
        <w:jc w:val="both"/>
        <w:rPr>
          <w:b/>
        </w:rPr>
      </w:pPr>
    </w:p>
    <w:p w:rsidR="003F739B" w:rsidRDefault="003F739B" w:rsidP="00B66856">
      <w:pPr>
        <w:tabs>
          <w:tab w:val="left" w:pos="4536"/>
        </w:tabs>
        <w:spacing w:after="0" w:line="240" w:lineRule="auto"/>
        <w:jc w:val="both"/>
        <w:rPr>
          <w:b/>
        </w:rPr>
      </w:pPr>
    </w:p>
    <w:p w:rsidR="003F739B" w:rsidRPr="00FB5671" w:rsidRDefault="003F739B" w:rsidP="003F739B">
      <w:pPr>
        <w:spacing w:after="0"/>
        <w:contextualSpacing/>
        <w:jc w:val="both"/>
        <w:rPr>
          <w:b/>
        </w:rPr>
      </w:pPr>
      <w:r w:rsidRPr="00FB5671">
        <w:rPr>
          <w:b/>
          <w:bdr w:val="single" w:sz="4" w:space="0" w:color="auto"/>
        </w:rPr>
        <w:t>Frais de structure et de fonctionnement</w:t>
      </w:r>
      <w:r>
        <w:rPr>
          <w:b/>
          <w:bdr w:val="single" w:sz="4" w:space="0" w:color="auto"/>
        </w:rPr>
        <w:t xml:space="preserve"> </w:t>
      </w:r>
    </w:p>
    <w:p w:rsidR="003F739B" w:rsidRDefault="003F739B" w:rsidP="003F739B">
      <w:pPr>
        <w:pStyle w:val="Sansinterligne"/>
        <w:spacing w:line="276" w:lineRule="auto"/>
        <w:rPr>
          <w:rFonts w:ascii="Calibri" w:hAnsi="Calibri"/>
          <w:b/>
          <w:sz w:val="22"/>
          <w:szCs w:val="22"/>
        </w:rPr>
      </w:pPr>
    </w:p>
    <w:p w:rsidR="003F739B" w:rsidRPr="00FB5671" w:rsidRDefault="003F739B" w:rsidP="003F739B">
      <w:pPr>
        <w:pStyle w:val="Sansinterligne"/>
        <w:spacing w:line="276" w:lineRule="auto"/>
        <w:rPr>
          <w:rFonts w:ascii="Calibri" w:hAnsi="Calibri"/>
          <w:b/>
          <w:sz w:val="22"/>
          <w:szCs w:val="22"/>
        </w:rPr>
      </w:pPr>
      <w:r w:rsidRPr="00FB5671">
        <w:rPr>
          <w:rFonts w:ascii="Calibri" w:hAnsi="Calibri"/>
          <w:b/>
          <w:sz w:val="22"/>
          <w:szCs w:val="22"/>
        </w:rPr>
        <w:t>Non éligibles au financemen</w:t>
      </w:r>
      <w:r w:rsidR="006B7D66">
        <w:rPr>
          <w:rFonts w:ascii="Calibri" w:hAnsi="Calibri"/>
          <w:b/>
          <w:sz w:val="22"/>
          <w:szCs w:val="22"/>
        </w:rPr>
        <w:t>t :</w:t>
      </w:r>
      <w:r w:rsidRPr="00FB5671">
        <w:rPr>
          <w:rFonts w:ascii="Calibri" w:hAnsi="Calibri"/>
          <w:b/>
          <w:sz w:val="22"/>
          <w:szCs w:val="22"/>
        </w:rPr>
        <w:t xml:space="preserve"> </w:t>
      </w:r>
    </w:p>
    <w:p w:rsidR="003F739B" w:rsidRPr="0030586E" w:rsidRDefault="003F739B" w:rsidP="003F739B">
      <w:pPr>
        <w:pStyle w:val="Sansinterligne"/>
        <w:spacing w:line="276" w:lineRule="auto"/>
        <w:ind w:left="644"/>
        <w:rPr>
          <w:rFonts w:ascii="Calibri" w:hAnsi="Calibri"/>
          <w:b/>
          <w:sz w:val="22"/>
          <w:szCs w:val="22"/>
        </w:rPr>
      </w:pPr>
    </w:p>
    <w:p w:rsidR="003F739B" w:rsidRPr="0030586E" w:rsidRDefault="003F739B" w:rsidP="003F739B">
      <w:pPr>
        <w:pStyle w:val="Sansinterligne"/>
        <w:spacing w:line="276" w:lineRule="auto"/>
        <w:ind w:left="426"/>
        <w:jc w:val="both"/>
        <w:rPr>
          <w:rFonts w:ascii="Calibri" w:hAnsi="Calibri"/>
          <w:sz w:val="22"/>
          <w:szCs w:val="22"/>
        </w:rPr>
      </w:pPr>
      <w:r w:rsidRPr="0030586E">
        <w:rPr>
          <w:rFonts w:ascii="Calibri" w:hAnsi="Calibri"/>
          <w:sz w:val="22"/>
          <w:szCs w:val="22"/>
        </w:rPr>
        <w:t>Les charges fixes de structure et de fonctionnement : loyer, dotations aux amortissements, taxes et impôts, frais généraux, postes pérennes, permanences, mise en place d’un accueil, unités mobiles, mise à disposition de locaux à titre onéreux pour la réalisation de l’action (la mise à disposition de locaux, si elle est nécessaire, doit être sollicitée à titre gracieux auprès des collectivités territoriales, associations etc…), …</w:t>
      </w:r>
    </w:p>
    <w:p w:rsidR="003F739B" w:rsidRPr="0030586E" w:rsidRDefault="003F739B" w:rsidP="003F739B">
      <w:pPr>
        <w:pStyle w:val="Paragraphedeliste"/>
        <w:spacing w:before="60" w:after="0"/>
        <w:ind w:left="0"/>
        <w:contextualSpacing/>
        <w:jc w:val="both"/>
        <w:rPr>
          <w:b/>
          <w:sz w:val="24"/>
          <w:szCs w:val="24"/>
          <w:bdr w:val="single" w:sz="4" w:space="0" w:color="auto"/>
        </w:rPr>
      </w:pPr>
    </w:p>
    <w:p w:rsidR="003F739B" w:rsidRPr="00F40E06" w:rsidRDefault="003F739B" w:rsidP="003F739B">
      <w:pPr>
        <w:pStyle w:val="Paragraphedeliste"/>
        <w:spacing w:before="60" w:after="0"/>
        <w:ind w:left="0"/>
        <w:contextualSpacing/>
        <w:jc w:val="both"/>
        <w:rPr>
          <w:rFonts w:cs="Calibri"/>
        </w:rPr>
      </w:pPr>
      <w:r w:rsidRPr="00F40E06">
        <w:rPr>
          <w:b/>
          <w:sz w:val="24"/>
          <w:szCs w:val="24"/>
          <w:bdr w:val="single" w:sz="4" w:space="0" w:color="auto"/>
        </w:rPr>
        <w:t xml:space="preserve"> </w:t>
      </w:r>
      <w:r>
        <w:rPr>
          <w:b/>
          <w:sz w:val="24"/>
          <w:szCs w:val="24"/>
          <w:bdr w:val="single" w:sz="4" w:space="0" w:color="auto"/>
        </w:rPr>
        <w:t>M</w:t>
      </w:r>
      <w:r w:rsidRPr="00F40E06">
        <w:rPr>
          <w:b/>
          <w:sz w:val="24"/>
          <w:szCs w:val="24"/>
          <w:bdr w:val="single" w:sz="4" w:space="0" w:color="auto"/>
        </w:rPr>
        <w:t>atériel</w:t>
      </w:r>
      <w:r>
        <w:rPr>
          <w:b/>
          <w:sz w:val="24"/>
          <w:szCs w:val="24"/>
          <w:bdr w:val="single" w:sz="4" w:space="0" w:color="auto"/>
        </w:rPr>
        <w:t>s</w:t>
      </w:r>
      <w:r w:rsidRPr="00F40E06">
        <w:rPr>
          <w:b/>
          <w:sz w:val="24"/>
          <w:szCs w:val="24"/>
          <w:bdr w:val="single" w:sz="4" w:space="0" w:color="auto"/>
        </w:rPr>
        <w:t xml:space="preserve"> </w:t>
      </w:r>
      <w:r>
        <w:rPr>
          <w:b/>
          <w:sz w:val="24"/>
          <w:szCs w:val="24"/>
          <w:bdr w:val="single" w:sz="4" w:space="0" w:color="auto"/>
        </w:rPr>
        <w:t>/</w:t>
      </w:r>
      <w:r w:rsidRPr="00F40E06">
        <w:rPr>
          <w:b/>
          <w:sz w:val="24"/>
          <w:szCs w:val="24"/>
          <w:bdr w:val="single" w:sz="4" w:space="0" w:color="auto"/>
        </w:rPr>
        <w:t xml:space="preserve"> </w:t>
      </w:r>
      <w:r>
        <w:rPr>
          <w:b/>
          <w:sz w:val="24"/>
          <w:szCs w:val="24"/>
          <w:bdr w:val="single" w:sz="4" w:space="0" w:color="auto"/>
        </w:rPr>
        <w:t>I</w:t>
      </w:r>
      <w:r w:rsidRPr="00F40E06">
        <w:rPr>
          <w:b/>
          <w:sz w:val="24"/>
          <w:szCs w:val="24"/>
          <w:bdr w:val="single" w:sz="4" w:space="0" w:color="auto"/>
        </w:rPr>
        <w:t>nvestissements</w:t>
      </w:r>
      <w:r>
        <w:rPr>
          <w:b/>
          <w:sz w:val="24"/>
          <w:szCs w:val="24"/>
          <w:bdr w:val="single" w:sz="4" w:space="0" w:color="auto"/>
        </w:rPr>
        <w:t xml:space="preserve"> / Logistique</w:t>
      </w:r>
      <w:r w:rsidRPr="00F40E06">
        <w:rPr>
          <w:b/>
          <w:sz w:val="24"/>
          <w:szCs w:val="24"/>
          <w:bdr w:val="single" w:sz="4" w:space="0" w:color="auto"/>
        </w:rPr>
        <w:t xml:space="preserve">  </w:t>
      </w:r>
    </w:p>
    <w:p w:rsidR="003F739B" w:rsidRPr="00FB5671" w:rsidRDefault="003F739B" w:rsidP="003F739B">
      <w:pPr>
        <w:pStyle w:val="Paragraphedeliste"/>
        <w:spacing w:before="60" w:after="0"/>
        <w:ind w:left="0"/>
        <w:contextualSpacing/>
        <w:jc w:val="both"/>
        <w:rPr>
          <w:rFonts w:cs="Calibri"/>
        </w:rPr>
      </w:pPr>
    </w:p>
    <w:p w:rsidR="003F739B" w:rsidRPr="00FB5671" w:rsidRDefault="003F739B" w:rsidP="003F739B">
      <w:pPr>
        <w:pStyle w:val="Sansinterligne"/>
        <w:spacing w:line="276" w:lineRule="auto"/>
        <w:jc w:val="both"/>
        <w:rPr>
          <w:rFonts w:ascii="Calibri" w:hAnsi="Calibri"/>
          <w:b/>
          <w:sz w:val="22"/>
          <w:szCs w:val="22"/>
        </w:rPr>
      </w:pPr>
      <w:r w:rsidRPr="00FB5671">
        <w:rPr>
          <w:rFonts w:ascii="Calibri" w:hAnsi="Calibri"/>
          <w:b/>
          <w:sz w:val="22"/>
          <w:szCs w:val="22"/>
        </w:rPr>
        <w:t>Non éligibles au financement :</w:t>
      </w:r>
    </w:p>
    <w:p w:rsidR="003F739B" w:rsidRPr="00FB5671" w:rsidRDefault="003F739B" w:rsidP="003F739B">
      <w:pPr>
        <w:pStyle w:val="Sansinterligne"/>
        <w:spacing w:line="276" w:lineRule="auto"/>
        <w:ind w:left="993" w:hanging="284"/>
        <w:rPr>
          <w:rFonts w:ascii="Calibri" w:hAnsi="Calibri"/>
          <w:sz w:val="22"/>
          <w:szCs w:val="22"/>
        </w:rPr>
      </w:pPr>
    </w:p>
    <w:p w:rsidR="003F739B" w:rsidRDefault="003F739B" w:rsidP="003F739B">
      <w:pPr>
        <w:pStyle w:val="Sansinterligne"/>
        <w:spacing w:line="276" w:lineRule="auto"/>
        <w:ind w:left="142" w:hanging="142"/>
        <w:jc w:val="both"/>
        <w:rPr>
          <w:rFonts w:ascii="Calibri" w:hAnsi="Calibri"/>
          <w:sz w:val="22"/>
          <w:szCs w:val="22"/>
        </w:rPr>
      </w:pPr>
      <w:r w:rsidRPr="00FB5671">
        <w:rPr>
          <w:rFonts w:ascii="Calibri" w:hAnsi="Calibri"/>
          <w:sz w:val="22"/>
          <w:szCs w:val="22"/>
        </w:rPr>
        <w:t>-  Les dépenses pour achat</w:t>
      </w:r>
      <w:r>
        <w:rPr>
          <w:rFonts w:ascii="Calibri" w:hAnsi="Calibri"/>
          <w:sz w:val="22"/>
          <w:szCs w:val="22"/>
        </w:rPr>
        <w:t xml:space="preserve"> ou location</w:t>
      </w:r>
      <w:r w:rsidRPr="00FB5671">
        <w:rPr>
          <w:rFonts w:ascii="Calibri" w:hAnsi="Calibri"/>
          <w:sz w:val="22"/>
          <w:szCs w:val="22"/>
        </w:rPr>
        <w:t xml:space="preserve"> de matériel/investissement : matériel de bureau, micro-ordinateur, matériels audio et vidéo, tables de mixage, micros, caméras, télévisions, bornes à </w:t>
      </w:r>
      <w:proofErr w:type="spellStart"/>
      <w:r w:rsidRPr="00FB5671">
        <w:rPr>
          <w:rFonts w:ascii="Calibri" w:hAnsi="Calibri"/>
          <w:sz w:val="22"/>
          <w:szCs w:val="22"/>
        </w:rPr>
        <w:t>selfie</w:t>
      </w:r>
      <w:proofErr w:type="spellEnd"/>
      <w:r>
        <w:rPr>
          <w:rFonts w:ascii="Calibri" w:hAnsi="Calibri"/>
          <w:sz w:val="22"/>
          <w:szCs w:val="22"/>
        </w:rPr>
        <w:t>,</w:t>
      </w:r>
    </w:p>
    <w:p w:rsidR="003F739B" w:rsidRPr="00AD6E8B" w:rsidRDefault="003F739B" w:rsidP="003F739B">
      <w:pPr>
        <w:pStyle w:val="Sansinterligne"/>
        <w:spacing w:line="276" w:lineRule="auto"/>
        <w:ind w:left="142" w:hanging="142"/>
        <w:jc w:val="both"/>
        <w:rPr>
          <w:rFonts w:ascii="Calibri" w:hAnsi="Calibri"/>
          <w:sz w:val="22"/>
          <w:szCs w:val="22"/>
        </w:rPr>
      </w:pPr>
      <w:r w:rsidRPr="00AD6E8B">
        <w:rPr>
          <w:rFonts w:ascii="Calibri" w:hAnsi="Calibri"/>
          <w:sz w:val="22"/>
          <w:szCs w:val="22"/>
        </w:rPr>
        <w:t xml:space="preserve">- Les frais de matériel destinés à la réalisation d’évènements (théâtre-débat, stands, forums,…) tels que barnums, locations de salle, chapiteaux, … </w:t>
      </w:r>
    </w:p>
    <w:p w:rsidR="003F739B" w:rsidRDefault="003F739B" w:rsidP="003F739B">
      <w:pPr>
        <w:pStyle w:val="Sansinterligne"/>
        <w:spacing w:line="276" w:lineRule="auto"/>
        <w:ind w:left="142" w:hanging="142"/>
        <w:jc w:val="both"/>
        <w:rPr>
          <w:rFonts w:ascii="Calibri" w:hAnsi="Calibri"/>
          <w:sz w:val="22"/>
          <w:szCs w:val="22"/>
        </w:rPr>
      </w:pPr>
      <w:r w:rsidRPr="00AD6E8B">
        <w:rPr>
          <w:rFonts w:ascii="Calibri" w:hAnsi="Calibri"/>
          <w:sz w:val="22"/>
          <w:szCs w:val="22"/>
        </w:rPr>
        <w:t>-</w:t>
      </w:r>
      <w:r w:rsidRPr="00FB5671">
        <w:rPr>
          <w:rFonts w:ascii="Calibri" w:hAnsi="Calibri"/>
          <w:sz w:val="22"/>
          <w:szCs w:val="22"/>
        </w:rPr>
        <w:t xml:space="preserve"> Les frais de logistique (transport, accessoires, outils) et de maintenance</w:t>
      </w:r>
      <w:r>
        <w:rPr>
          <w:rFonts w:ascii="Calibri" w:hAnsi="Calibri"/>
          <w:sz w:val="22"/>
          <w:szCs w:val="22"/>
        </w:rPr>
        <w:t>,</w:t>
      </w:r>
    </w:p>
    <w:p w:rsidR="003F739B" w:rsidRPr="00FB5671" w:rsidRDefault="003F739B" w:rsidP="003F739B">
      <w:pPr>
        <w:pStyle w:val="Sansinterligne"/>
        <w:spacing w:line="276" w:lineRule="auto"/>
        <w:ind w:left="142" w:hanging="142"/>
        <w:jc w:val="both"/>
        <w:rPr>
          <w:rFonts w:ascii="Calibri" w:hAnsi="Calibri"/>
          <w:sz w:val="22"/>
          <w:szCs w:val="22"/>
        </w:rPr>
      </w:pPr>
      <w:r>
        <w:rPr>
          <w:rFonts w:ascii="Calibri" w:hAnsi="Calibri"/>
          <w:sz w:val="22"/>
          <w:szCs w:val="22"/>
        </w:rPr>
        <w:t>- Les outils inhérents à l’activité des structures dans le cadre des activités pour lesquelles elles sont missionnées et actualisation ou modification de ces outils.</w:t>
      </w:r>
    </w:p>
    <w:p w:rsidR="00AD6E8B" w:rsidRPr="00C93847" w:rsidRDefault="00AD6E8B" w:rsidP="00B66856">
      <w:pPr>
        <w:spacing w:after="0" w:line="240" w:lineRule="auto"/>
        <w:jc w:val="both"/>
        <w:rPr>
          <w:rFonts w:eastAsia="Times New Roman"/>
          <w:color w:val="000000"/>
          <w:lang w:eastAsia="fr-FR"/>
        </w:rPr>
      </w:pPr>
    </w:p>
    <w:p w:rsidR="0008107A" w:rsidRPr="00C52E4C" w:rsidRDefault="00C52E4C" w:rsidP="0008107A">
      <w:pPr>
        <w:spacing w:before="200" w:after="0" w:line="240" w:lineRule="auto"/>
        <w:rPr>
          <w:b/>
        </w:rPr>
      </w:pPr>
      <w:r>
        <w:rPr>
          <w:b/>
          <w:bdr w:val="single" w:sz="4" w:space="0" w:color="auto"/>
        </w:rPr>
        <w:t xml:space="preserve"> </w:t>
      </w:r>
      <w:r w:rsidR="0008107A" w:rsidRPr="00C52E4C">
        <w:rPr>
          <w:b/>
          <w:bdr w:val="single" w:sz="4" w:space="0" w:color="auto"/>
        </w:rPr>
        <w:t>Actions en partenariat avec des laboratoires, des marques commerciales</w:t>
      </w:r>
      <w:r>
        <w:rPr>
          <w:b/>
          <w:bdr w:val="single" w:sz="4" w:space="0" w:color="auto"/>
        </w:rPr>
        <w:t xml:space="preserve"> </w:t>
      </w:r>
      <w:r w:rsidR="0008107A" w:rsidRPr="00C52E4C">
        <w:rPr>
          <w:b/>
        </w:rPr>
        <w:t> </w:t>
      </w:r>
    </w:p>
    <w:p w:rsidR="00546AA1" w:rsidRPr="00C52E4C" w:rsidRDefault="00546AA1" w:rsidP="0030586E">
      <w:pPr>
        <w:spacing w:before="200" w:after="0" w:line="240" w:lineRule="auto"/>
        <w:jc w:val="both"/>
        <w:rPr>
          <w:b/>
        </w:rPr>
      </w:pPr>
      <w:r w:rsidRPr="00C52E4C">
        <w:rPr>
          <w:b/>
        </w:rPr>
        <w:t>Non éligibles au financement :</w:t>
      </w:r>
    </w:p>
    <w:p w:rsidR="00546AA1" w:rsidRDefault="00546AA1" w:rsidP="0030586E">
      <w:pPr>
        <w:spacing w:after="0" w:line="240" w:lineRule="auto"/>
        <w:ind w:left="360"/>
        <w:jc w:val="both"/>
        <w:rPr>
          <w:rFonts w:eastAsia="Times New Roman"/>
          <w:color w:val="000000"/>
          <w:lang w:eastAsia="fr-FR"/>
        </w:rPr>
      </w:pPr>
    </w:p>
    <w:p w:rsidR="00E32745" w:rsidRDefault="00E32745" w:rsidP="0030586E">
      <w:pPr>
        <w:spacing w:after="0" w:line="240" w:lineRule="auto"/>
        <w:ind w:left="360"/>
        <w:jc w:val="both"/>
        <w:rPr>
          <w:rFonts w:eastAsia="Times New Roman"/>
          <w:color w:val="000000"/>
          <w:lang w:eastAsia="fr-FR"/>
        </w:rPr>
      </w:pPr>
      <w:r w:rsidRPr="00C93847">
        <w:rPr>
          <w:rFonts w:eastAsia="Times New Roman"/>
          <w:color w:val="000000"/>
          <w:lang w:eastAsia="fr-FR"/>
        </w:rPr>
        <w:t xml:space="preserve">Il n’est pas  possible pour l’Assurance Maladie d’être associée ou d’avoir des actions en commun avec des laboratoires ou des marques commerciales (conflit d’intérêt). </w:t>
      </w:r>
    </w:p>
    <w:p w:rsidR="00F40E06" w:rsidRDefault="00F40E06" w:rsidP="00205F01">
      <w:pPr>
        <w:spacing w:after="0" w:line="240" w:lineRule="auto"/>
        <w:ind w:left="360"/>
        <w:rPr>
          <w:rFonts w:eastAsia="Times New Roman"/>
          <w:color w:val="000000"/>
          <w:lang w:eastAsia="fr-FR"/>
        </w:rPr>
      </w:pPr>
    </w:p>
    <w:p w:rsidR="00F40E06" w:rsidRPr="00C52E4C" w:rsidRDefault="00F40E06" w:rsidP="00F40E06">
      <w:pPr>
        <w:spacing w:before="200" w:after="0" w:line="240" w:lineRule="auto"/>
        <w:rPr>
          <w:b/>
        </w:rPr>
      </w:pPr>
      <w:r>
        <w:rPr>
          <w:b/>
          <w:bdr w:val="single" w:sz="4" w:space="0" w:color="auto"/>
        </w:rPr>
        <w:t xml:space="preserve"> </w:t>
      </w:r>
      <w:r w:rsidRPr="00F40E06">
        <w:rPr>
          <w:b/>
          <w:bdr w:val="single" w:sz="4" w:space="0" w:color="auto"/>
        </w:rPr>
        <w:t>Actions en direction des salariés d’entreprises</w:t>
      </w:r>
      <w:r>
        <w:rPr>
          <w:b/>
          <w:bdr w:val="single" w:sz="4" w:space="0" w:color="auto"/>
        </w:rPr>
        <w:t xml:space="preserve"> </w:t>
      </w:r>
      <w:r w:rsidRPr="00C52E4C">
        <w:rPr>
          <w:b/>
        </w:rPr>
        <w:t> </w:t>
      </w:r>
    </w:p>
    <w:p w:rsidR="00F40E06" w:rsidRPr="00C52E4C" w:rsidRDefault="00F40E06" w:rsidP="00F40E06">
      <w:pPr>
        <w:spacing w:before="200" w:after="0" w:line="240" w:lineRule="auto"/>
        <w:rPr>
          <w:b/>
        </w:rPr>
      </w:pPr>
      <w:r w:rsidRPr="00C52E4C">
        <w:rPr>
          <w:b/>
        </w:rPr>
        <w:lastRenderedPageBreak/>
        <w:t>Non éligibles au financement :</w:t>
      </w:r>
    </w:p>
    <w:p w:rsidR="00F40E06" w:rsidRDefault="00F40E06" w:rsidP="00F40E06">
      <w:pPr>
        <w:spacing w:after="0" w:line="240" w:lineRule="auto"/>
        <w:ind w:left="360"/>
        <w:rPr>
          <w:rFonts w:eastAsia="Times New Roman"/>
          <w:color w:val="000000"/>
          <w:lang w:eastAsia="fr-FR"/>
        </w:rPr>
      </w:pPr>
    </w:p>
    <w:p w:rsidR="00810C70" w:rsidRDefault="00F40E06" w:rsidP="00D4270A">
      <w:pPr>
        <w:spacing w:after="0" w:line="240" w:lineRule="auto"/>
        <w:ind w:left="284" w:right="260"/>
        <w:rPr>
          <w:rFonts w:eastAsia="Times New Roman"/>
          <w:color w:val="000000"/>
          <w:lang w:eastAsia="fr-FR"/>
        </w:rPr>
      </w:pPr>
      <w:r>
        <w:rPr>
          <w:rFonts w:eastAsia="Times New Roman"/>
          <w:color w:val="000000"/>
          <w:lang w:eastAsia="fr-FR"/>
        </w:rPr>
        <w:t>Le financement de c</w:t>
      </w:r>
      <w:r w:rsidRPr="00C93847">
        <w:rPr>
          <w:rFonts w:eastAsia="Times New Roman"/>
          <w:color w:val="000000"/>
          <w:lang w:eastAsia="fr-FR"/>
        </w:rPr>
        <w:t xml:space="preserve">es actions </w:t>
      </w:r>
      <w:r>
        <w:rPr>
          <w:rFonts w:eastAsia="Times New Roman"/>
          <w:color w:val="000000"/>
          <w:lang w:eastAsia="fr-FR"/>
        </w:rPr>
        <w:t>institutionnelles relève des entreprises elles-mêmes.</w:t>
      </w:r>
    </w:p>
    <w:p w:rsidR="00F40E06" w:rsidRDefault="00F40E06" w:rsidP="00F40E06">
      <w:pPr>
        <w:spacing w:after="0" w:line="240" w:lineRule="auto"/>
        <w:ind w:right="260"/>
        <w:rPr>
          <w:rFonts w:eastAsia="Times New Roman"/>
          <w:color w:val="000000"/>
          <w:lang w:eastAsia="fr-FR"/>
        </w:rPr>
      </w:pPr>
    </w:p>
    <w:p w:rsidR="00F40E06" w:rsidRPr="00E54367" w:rsidRDefault="00F40E06" w:rsidP="00F40E06">
      <w:pPr>
        <w:spacing w:after="0" w:line="240" w:lineRule="auto"/>
        <w:ind w:right="260"/>
      </w:pPr>
    </w:p>
    <w:p w:rsidR="00E54367" w:rsidRPr="00C52E4C" w:rsidRDefault="00C52E4C" w:rsidP="00205F01">
      <w:pPr>
        <w:spacing w:after="0" w:line="240" w:lineRule="auto"/>
        <w:ind w:right="260"/>
        <w:rPr>
          <w:b/>
        </w:rPr>
      </w:pPr>
      <w:r>
        <w:rPr>
          <w:b/>
          <w:bdr w:val="single" w:sz="4" w:space="0" w:color="auto"/>
        </w:rPr>
        <w:t xml:space="preserve"> </w:t>
      </w:r>
      <w:r w:rsidR="0008107A" w:rsidRPr="00C52E4C">
        <w:rPr>
          <w:b/>
          <w:bdr w:val="single" w:sz="4" w:space="0" w:color="auto"/>
        </w:rPr>
        <w:t>Gadgets et outils promotionnels</w:t>
      </w:r>
      <w:r>
        <w:rPr>
          <w:b/>
          <w:bdr w:val="single" w:sz="4" w:space="0" w:color="auto"/>
        </w:rPr>
        <w:t xml:space="preserve"> </w:t>
      </w:r>
      <w:r w:rsidR="0008107A">
        <w:rPr>
          <w:b/>
        </w:rPr>
        <w:t> </w:t>
      </w:r>
    </w:p>
    <w:p w:rsidR="0008107A" w:rsidRDefault="0008107A" w:rsidP="00205F01">
      <w:pPr>
        <w:spacing w:after="0" w:line="240" w:lineRule="auto"/>
        <w:ind w:right="260"/>
      </w:pPr>
    </w:p>
    <w:p w:rsidR="0008107A" w:rsidRPr="00FB5671" w:rsidRDefault="0008107A" w:rsidP="00C52E4C">
      <w:pPr>
        <w:pStyle w:val="Sansinterligne"/>
        <w:spacing w:line="276" w:lineRule="auto"/>
        <w:jc w:val="both"/>
        <w:rPr>
          <w:rFonts w:ascii="Calibri" w:hAnsi="Calibri"/>
          <w:b/>
          <w:sz w:val="22"/>
          <w:szCs w:val="22"/>
        </w:rPr>
      </w:pPr>
      <w:r w:rsidRPr="00FB5671">
        <w:rPr>
          <w:rFonts w:ascii="Calibri" w:hAnsi="Calibri"/>
          <w:b/>
          <w:sz w:val="22"/>
          <w:szCs w:val="22"/>
        </w:rPr>
        <w:t>Non éligibles au financement :</w:t>
      </w:r>
    </w:p>
    <w:p w:rsidR="0008107A" w:rsidRDefault="0008107A" w:rsidP="0008107A">
      <w:pPr>
        <w:spacing w:after="0" w:line="240" w:lineRule="auto"/>
        <w:ind w:left="426"/>
        <w:rPr>
          <w:rFonts w:eastAsia="Times New Roman"/>
          <w:color w:val="000000"/>
          <w:lang w:eastAsia="fr-FR"/>
        </w:rPr>
      </w:pPr>
    </w:p>
    <w:p w:rsidR="0008107A" w:rsidRDefault="0008107A" w:rsidP="00B66856">
      <w:pPr>
        <w:pStyle w:val="Paragraphedeliste"/>
        <w:spacing w:after="0" w:line="240" w:lineRule="auto"/>
        <w:ind w:left="284" w:right="260"/>
        <w:jc w:val="both"/>
        <w:rPr>
          <w:rFonts w:eastAsia="Times New Roman"/>
          <w:lang w:eastAsia="fr-FR"/>
        </w:rPr>
      </w:pPr>
      <w:r w:rsidRPr="00C52E4C">
        <w:rPr>
          <w:rFonts w:eastAsia="Times New Roman"/>
          <w:lang w:eastAsia="fr-FR"/>
        </w:rPr>
        <w:t>Les dépenses pour achat de gadgets et outils promotionnels : sets de table, stylos, casques à vélo, lots de jeux/concours, jeux, cadeaux, chèques cadeaux,</w:t>
      </w:r>
      <w:r w:rsidR="005D7CEC">
        <w:rPr>
          <w:rFonts w:eastAsia="Times New Roman"/>
          <w:lang w:eastAsia="fr-FR"/>
        </w:rPr>
        <w:t xml:space="preserve"> dons aux associations,</w:t>
      </w:r>
      <w:r w:rsidR="00776DD9">
        <w:rPr>
          <w:rFonts w:eastAsia="Times New Roman"/>
          <w:lang w:eastAsia="fr-FR"/>
        </w:rPr>
        <w:t xml:space="preserve"> </w:t>
      </w:r>
      <w:r w:rsidRPr="00C52E4C">
        <w:rPr>
          <w:rFonts w:eastAsia="Times New Roman"/>
          <w:lang w:eastAsia="fr-FR"/>
        </w:rPr>
        <w:t xml:space="preserve">… </w:t>
      </w:r>
    </w:p>
    <w:p w:rsidR="00C52E4C" w:rsidRDefault="00C52E4C" w:rsidP="00B66856">
      <w:pPr>
        <w:pStyle w:val="Paragraphedeliste"/>
        <w:spacing w:after="0" w:line="240" w:lineRule="auto"/>
        <w:ind w:left="284" w:right="260"/>
        <w:jc w:val="both"/>
      </w:pPr>
    </w:p>
    <w:p w:rsidR="0008107A" w:rsidRDefault="0008107A" w:rsidP="00205F01">
      <w:pPr>
        <w:spacing w:after="0" w:line="240" w:lineRule="auto"/>
        <w:ind w:right="260"/>
      </w:pPr>
    </w:p>
    <w:p w:rsidR="00723E2B" w:rsidRPr="00723E2B" w:rsidRDefault="00723E2B" w:rsidP="00205F01">
      <w:pPr>
        <w:spacing w:after="0" w:line="240" w:lineRule="auto"/>
        <w:ind w:right="260"/>
        <w:rPr>
          <w:b/>
        </w:rPr>
      </w:pPr>
      <w:r>
        <w:rPr>
          <w:b/>
          <w:bdr w:val="single" w:sz="4" w:space="0" w:color="auto"/>
        </w:rPr>
        <w:t xml:space="preserve"> </w:t>
      </w:r>
      <w:r w:rsidRPr="00723E2B">
        <w:rPr>
          <w:b/>
          <w:bdr w:val="single" w:sz="4" w:space="0" w:color="auto"/>
        </w:rPr>
        <w:t>Frais de bouche/frais liés à des moments de convivialité</w:t>
      </w:r>
      <w:r>
        <w:rPr>
          <w:b/>
          <w:bdr w:val="single" w:sz="4" w:space="0" w:color="auto"/>
        </w:rPr>
        <w:t xml:space="preserve"> </w:t>
      </w:r>
    </w:p>
    <w:p w:rsidR="00723E2B" w:rsidRDefault="00723E2B" w:rsidP="00205F01">
      <w:pPr>
        <w:spacing w:after="0" w:line="240" w:lineRule="auto"/>
        <w:ind w:right="260"/>
      </w:pPr>
    </w:p>
    <w:p w:rsidR="00723E2B" w:rsidRPr="00723E2B" w:rsidRDefault="00723E2B" w:rsidP="00205F01">
      <w:pPr>
        <w:spacing w:after="0" w:line="240" w:lineRule="auto"/>
        <w:ind w:right="260"/>
        <w:rPr>
          <w:b/>
        </w:rPr>
      </w:pPr>
      <w:r w:rsidRPr="00723E2B">
        <w:rPr>
          <w:b/>
        </w:rPr>
        <w:t>Non éligibles a</w:t>
      </w:r>
      <w:r>
        <w:rPr>
          <w:b/>
        </w:rPr>
        <w:t>u</w:t>
      </w:r>
      <w:r w:rsidRPr="00723E2B">
        <w:rPr>
          <w:b/>
        </w:rPr>
        <w:t xml:space="preserve"> financement : </w:t>
      </w:r>
    </w:p>
    <w:p w:rsidR="00723E2B" w:rsidRDefault="00723E2B" w:rsidP="00205F01">
      <w:pPr>
        <w:spacing w:after="0" w:line="240" w:lineRule="auto"/>
        <w:ind w:right="260"/>
      </w:pPr>
    </w:p>
    <w:p w:rsidR="00723E2B" w:rsidRPr="00DD569B" w:rsidRDefault="00723E2B" w:rsidP="00B66856">
      <w:pPr>
        <w:spacing w:after="0" w:line="264" w:lineRule="auto"/>
        <w:ind w:left="284"/>
        <w:jc w:val="both"/>
        <w:rPr>
          <w:rFonts w:eastAsia="Times New Roman"/>
          <w:lang w:eastAsia="fr-FR"/>
        </w:rPr>
      </w:pPr>
      <w:r>
        <w:rPr>
          <w:rFonts w:eastAsia="Times New Roman"/>
          <w:lang w:eastAsia="fr-FR"/>
        </w:rPr>
        <w:t>Les dépenses relatives</w:t>
      </w:r>
      <w:r w:rsidRPr="00DD569B">
        <w:rPr>
          <w:rFonts w:eastAsia="Times New Roman"/>
          <w:lang w:eastAsia="fr-FR"/>
        </w:rPr>
        <w:t xml:space="preserve"> à des moments de convivialité : petits déjeuners, déjeuners et autres frais de «bouche»</w:t>
      </w:r>
      <w:r>
        <w:rPr>
          <w:rFonts w:eastAsia="Times New Roman"/>
          <w:lang w:eastAsia="fr-FR"/>
        </w:rPr>
        <w:t>.</w:t>
      </w:r>
    </w:p>
    <w:p w:rsidR="00723E2B" w:rsidRDefault="00723E2B" w:rsidP="0030586E">
      <w:pPr>
        <w:spacing w:after="0" w:line="240" w:lineRule="auto"/>
        <w:ind w:right="260"/>
        <w:jc w:val="both"/>
      </w:pPr>
    </w:p>
    <w:p w:rsidR="00F40E06" w:rsidRDefault="00F40E06" w:rsidP="0030586E">
      <w:pPr>
        <w:spacing w:after="0" w:line="240" w:lineRule="auto"/>
        <w:ind w:right="260"/>
        <w:jc w:val="both"/>
      </w:pPr>
    </w:p>
    <w:p w:rsidR="00723E2B" w:rsidRPr="00A07E99" w:rsidRDefault="00A07E99" w:rsidP="0030586E">
      <w:pPr>
        <w:spacing w:after="0" w:line="240" w:lineRule="auto"/>
        <w:ind w:right="260"/>
        <w:jc w:val="both"/>
        <w:rPr>
          <w:b/>
        </w:rPr>
      </w:pPr>
      <w:r w:rsidRPr="00A07E99">
        <w:rPr>
          <w:b/>
          <w:bdr w:val="single" w:sz="4" w:space="0" w:color="auto"/>
        </w:rPr>
        <w:t xml:space="preserve">Matériel de prévention dans le cadre du </w:t>
      </w:r>
      <w:proofErr w:type="spellStart"/>
      <w:r w:rsidRPr="00A07E99">
        <w:rPr>
          <w:b/>
          <w:bdr w:val="single" w:sz="4" w:space="0" w:color="auto"/>
        </w:rPr>
        <w:t>Covid</w:t>
      </w:r>
      <w:proofErr w:type="spellEnd"/>
    </w:p>
    <w:p w:rsidR="00A07E99" w:rsidRPr="00A07E99" w:rsidRDefault="00A07E99" w:rsidP="0030586E">
      <w:pPr>
        <w:spacing w:after="0" w:line="240" w:lineRule="auto"/>
        <w:ind w:right="260"/>
        <w:jc w:val="both"/>
        <w:rPr>
          <w:b/>
        </w:rPr>
      </w:pPr>
    </w:p>
    <w:p w:rsidR="00A07E99" w:rsidRPr="00A07E99" w:rsidRDefault="00A07E99" w:rsidP="0030586E">
      <w:pPr>
        <w:spacing w:after="0" w:line="240" w:lineRule="auto"/>
        <w:ind w:right="260"/>
        <w:jc w:val="both"/>
        <w:rPr>
          <w:b/>
        </w:rPr>
      </w:pPr>
      <w:r w:rsidRPr="00A07E99">
        <w:rPr>
          <w:b/>
        </w:rPr>
        <w:t>Non éligibles au financement :</w:t>
      </w:r>
    </w:p>
    <w:p w:rsidR="00A07E99" w:rsidRDefault="00A07E99" w:rsidP="0030586E">
      <w:pPr>
        <w:spacing w:after="0" w:line="240" w:lineRule="auto"/>
        <w:ind w:right="260"/>
        <w:jc w:val="both"/>
      </w:pPr>
    </w:p>
    <w:p w:rsidR="00A07E99" w:rsidRDefault="00A07E99" w:rsidP="0030586E">
      <w:pPr>
        <w:spacing w:after="0" w:line="240" w:lineRule="auto"/>
        <w:ind w:left="284" w:right="260"/>
        <w:jc w:val="both"/>
      </w:pPr>
      <w:r>
        <w:t>Masques, gel hydro-alcoolique pour les intervenants et les participants.</w:t>
      </w:r>
    </w:p>
    <w:p w:rsidR="00F40E06" w:rsidRPr="00FB5671" w:rsidRDefault="00F40E06" w:rsidP="0030586E">
      <w:pPr>
        <w:spacing w:after="0"/>
        <w:ind w:left="426"/>
        <w:contextualSpacing/>
        <w:jc w:val="both"/>
        <w:rPr>
          <w:b/>
        </w:rPr>
      </w:pPr>
    </w:p>
    <w:p w:rsidR="00145BBA" w:rsidRDefault="00145BBA" w:rsidP="00205F01">
      <w:pPr>
        <w:tabs>
          <w:tab w:val="left" w:pos="4536"/>
        </w:tabs>
        <w:spacing w:after="0" w:line="240" w:lineRule="auto"/>
        <w:rPr>
          <w:b/>
        </w:rPr>
      </w:pPr>
    </w:p>
    <w:p w:rsidR="00145BBA" w:rsidRPr="00520D2B" w:rsidRDefault="00145BBA"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 xml:space="preserve">V –  SUIVI ET EVALUATION DES ACTIONS </w:t>
      </w:r>
    </w:p>
    <w:p w:rsidR="00145BBA" w:rsidRDefault="00145BBA" w:rsidP="00B66856">
      <w:pPr>
        <w:jc w:val="both"/>
      </w:pPr>
      <w:r>
        <w:t>Le suivi et l’évaluation de l’action doivent être prévus dès sa conception. Il s’agira de présenter les indicateurs qui feront l’objet du suivi et de l’évaluation dans le dossier de candidature lors de son dépôt.</w:t>
      </w:r>
    </w:p>
    <w:p w:rsidR="00145BBA" w:rsidRPr="00622811" w:rsidRDefault="00145BBA" w:rsidP="00B66856">
      <w:pPr>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rsidR="00145BBA" w:rsidRPr="00622811" w:rsidRDefault="00145BBA" w:rsidP="00B66856">
      <w:pPr>
        <w:numPr>
          <w:ilvl w:val="0"/>
          <w:numId w:val="66"/>
        </w:numPr>
        <w:spacing w:after="0" w:line="240" w:lineRule="auto"/>
        <w:jc w:val="both"/>
        <w:rPr>
          <w:rFonts w:cs="Calibri"/>
        </w:rPr>
      </w:pPr>
      <w:r w:rsidRPr="00622811">
        <w:rPr>
          <w:rFonts w:cs="Calibri"/>
        </w:rPr>
        <w:t xml:space="preserve">processus : </w:t>
      </w:r>
      <w:r>
        <w:rPr>
          <w:rFonts w:cs="Calibri"/>
        </w:rPr>
        <w:t xml:space="preserve">suivi et </w:t>
      </w:r>
      <w:r w:rsidRPr="00622811">
        <w:rPr>
          <w:rFonts w:cs="Calibri"/>
        </w:rPr>
        <w:t>évaluation de la mise en œuvre effective de l’action</w:t>
      </w:r>
      <w:r>
        <w:rPr>
          <w:rFonts w:cs="Calibri"/>
        </w:rPr>
        <w:t xml:space="preserve"> mise en place</w:t>
      </w:r>
      <w:r w:rsidRPr="00622811">
        <w:rPr>
          <w:rFonts w:cs="Calibri"/>
        </w:rPr>
        <w:t>,</w:t>
      </w:r>
    </w:p>
    <w:p w:rsidR="00145BBA" w:rsidRDefault="00145BBA" w:rsidP="00B66856">
      <w:pPr>
        <w:numPr>
          <w:ilvl w:val="0"/>
          <w:numId w:val="66"/>
        </w:numPr>
        <w:spacing w:after="0" w:line="240" w:lineRule="auto"/>
        <w:jc w:val="both"/>
        <w:rPr>
          <w:rFonts w:cs="Calibri"/>
        </w:rPr>
      </w:pPr>
      <w:r w:rsidRPr="00622811">
        <w:rPr>
          <w:rFonts w:cs="Calibri"/>
        </w:rPr>
        <w:t xml:space="preserve">résultat : </w:t>
      </w:r>
      <w:r>
        <w:rPr>
          <w:rFonts w:cs="Calibri"/>
        </w:rPr>
        <w:t xml:space="preserve">suivi et </w:t>
      </w:r>
      <w:r w:rsidRPr="00622811">
        <w:rPr>
          <w:rFonts w:cs="Calibri"/>
        </w:rPr>
        <w:t>évaluation des effets réels en termes de santé et d’habitudes de vie</w:t>
      </w:r>
      <w:r>
        <w:rPr>
          <w:rFonts w:cs="Calibri"/>
        </w:rPr>
        <w:t>, et des connaissances</w:t>
      </w:r>
      <w:r w:rsidRPr="00622811">
        <w:rPr>
          <w:rFonts w:cs="Calibri"/>
        </w:rPr>
        <w:t xml:space="preserve"> des </w:t>
      </w:r>
      <w:r>
        <w:rPr>
          <w:rFonts w:cs="Calibri"/>
        </w:rPr>
        <w:t xml:space="preserve">personnes ayant </w:t>
      </w:r>
      <w:r w:rsidRPr="00622811">
        <w:rPr>
          <w:rFonts w:cs="Calibri"/>
        </w:rPr>
        <w:t>bénéfici</w:t>
      </w:r>
      <w:r>
        <w:rPr>
          <w:rFonts w:cs="Calibri"/>
        </w:rPr>
        <w:t>é</w:t>
      </w:r>
      <w:r w:rsidRPr="00622811">
        <w:rPr>
          <w:rFonts w:cs="Calibri"/>
        </w:rPr>
        <w:t xml:space="preserve"> de l’action.</w:t>
      </w:r>
    </w:p>
    <w:p w:rsidR="00145BBA" w:rsidRPr="00622811" w:rsidRDefault="00145BBA" w:rsidP="00B66856">
      <w:pPr>
        <w:spacing w:after="0" w:line="240" w:lineRule="auto"/>
        <w:ind w:left="720"/>
        <w:jc w:val="both"/>
        <w:rPr>
          <w:rFonts w:cs="Calibri"/>
        </w:rPr>
      </w:pPr>
    </w:p>
    <w:p w:rsidR="00145BBA" w:rsidRDefault="00145BBA" w:rsidP="00B66856">
      <w:pPr>
        <w:jc w:val="both"/>
        <w:rPr>
          <w:rFonts w:cs="Calibri"/>
        </w:rPr>
      </w:pPr>
      <w:r>
        <w:rPr>
          <w:rFonts w:cs="Calibri"/>
        </w:rPr>
        <w:t>A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rsidR="00145BBA" w:rsidRDefault="00145BBA" w:rsidP="00B66856">
      <w:pPr>
        <w:spacing w:after="0"/>
        <w:jc w:val="both"/>
        <w:rPr>
          <w:rFonts w:cs="Calibri"/>
        </w:rPr>
      </w:pPr>
      <w:r>
        <w:rPr>
          <w:rFonts w:cs="Calibri"/>
        </w:rPr>
        <w:lastRenderedPageBreak/>
        <w:t>Selon le type d’action proposé, quelques indicateurs pourront être retenus (non exhaustif)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 nombre de </w:t>
      </w:r>
      <w:r>
        <w:rPr>
          <w:rFonts w:cs="Calibri"/>
          <w:color w:val="000000"/>
          <w:lang w:eastAsia="fr-FR"/>
        </w:rPr>
        <w:t xml:space="preserve">participant à l’action </w:t>
      </w:r>
      <w:r w:rsidRPr="003F0A5E">
        <w:rPr>
          <w:rFonts w:cs="Calibri"/>
          <w:color w:val="000000"/>
          <w:lang w:eastAsia="fr-FR"/>
        </w:rPr>
        <w:t>(par rapport au nombre de personnes prévues</w:t>
      </w:r>
      <w:r>
        <w:rPr>
          <w:rFonts w:cs="Calibri"/>
          <w:color w:val="000000"/>
          <w:lang w:eastAsia="fr-FR"/>
        </w:rPr>
        <w:t>, notamment pour les ateliers</w:t>
      </w:r>
      <w:r w:rsidRPr="003F0A5E">
        <w:rPr>
          <w:rFonts w:cs="Calibri"/>
          <w:color w:val="000000"/>
          <w:lang w:eastAsia="fr-FR"/>
        </w:rPr>
        <w:t>)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partenariats  locaux mobilisés ;</w:t>
      </w:r>
    </w:p>
    <w:p w:rsidR="00145BBA" w:rsidRPr="008421E3"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éléments permettant d’apprécier </w:t>
      </w:r>
      <w:r>
        <w:rPr>
          <w:rFonts w:cs="Calibri"/>
          <w:color w:val="000000"/>
          <w:lang w:eastAsia="fr-FR"/>
        </w:rPr>
        <w:t>un renforcement des connaissances sur les dispositifs nationaux et l’impact de l’action sur les connaissances des publics cibles ;</w:t>
      </w:r>
    </w:p>
    <w:p w:rsidR="00145BBA"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satisfaction globale des participants</w:t>
      </w:r>
      <w:r>
        <w:rPr>
          <w:rFonts w:cs="Calibri"/>
          <w:color w:val="000000"/>
          <w:lang w:eastAsia="fr-FR"/>
        </w:rPr>
        <w:t xml:space="preserve"> par rapport à leurs attentes au regard des sujets traités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axes d’évolution / ajustements à apporter pour une meilleure atteinte des objectifs…</w:t>
      </w:r>
    </w:p>
    <w:p w:rsidR="00145BBA" w:rsidRDefault="00145BBA" w:rsidP="00B66856">
      <w:pPr>
        <w:autoSpaceDE w:val="0"/>
        <w:autoSpaceDN w:val="0"/>
        <w:adjustRightInd w:val="0"/>
        <w:spacing w:after="0" w:line="264" w:lineRule="auto"/>
        <w:ind w:left="357"/>
        <w:jc w:val="both"/>
        <w:rPr>
          <w:rFonts w:cs="Calibri"/>
          <w:color w:val="000000"/>
          <w:lang w:eastAsia="fr-FR"/>
        </w:rPr>
      </w:pPr>
    </w:p>
    <w:p w:rsidR="00145BBA" w:rsidRDefault="00145BBA" w:rsidP="00B66856">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rsidR="00145BBA"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rFonts w:cs="Calibri"/>
          <w:lang w:eastAsia="fr-FR"/>
        </w:rPr>
        <w:t>l</w:t>
      </w:r>
      <w:r w:rsidRPr="00E6798C">
        <w:rPr>
          <w:rFonts w:cs="Calibri"/>
          <w:lang w:eastAsia="fr-FR"/>
        </w:rPr>
        <w:t>es résultats des indicateurs de suivi et d’évaluation</w:t>
      </w:r>
      <w:r w:rsidR="00B66856">
        <w:rPr>
          <w:rFonts w:cs="Calibri"/>
          <w:lang w:eastAsia="fr-FR"/>
        </w:rPr>
        <w:t xml:space="preserve"> </w:t>
      </w:r>
      <w:r>
        <w:rPr>
          <w:rFonts w:cs="Calibri"/>
          <w:lang w:eastAsia="fr-FR"/>
        </w:rPr>
        <w:t>ainsi que</w:t>
      </w:r>
      <w:r w:rsidRPr="00E6798C">
        <w:rPr>
          <w:rFonts w:cs="Calibri"/>
          <w:lang w:eastAsia="fr-FR"/>
        </w:rPr>
        <w:t xml:space="preserve"> le</w:t>
      </w:r>
      <w:r>
        <w:rPr>
          <w:rFonts w:cs="Calibri"/>
          <w:lang w:eastAsia="fr-FR"/>
        </w:rPr>
        <w:t>ur analyse</w:t>
      </w:r>
      <w:r w:rsidR="00B66856">
        <w:rPr>
          <w:rFonts w:cs="Calibri"/>
          <w:lang w:eastAsia="fr-FR"/>
        </w:rPr>
        <w:t xml:space="preserve"> </w:t>
      </w:r>
      <w:r>
        <w:rPr>
          <w:rFonts w:cs="Calibri"/>
          <w:lang w:eastAsia="fr-FR"/>
        </w:rPr>
        <w:t>(</w:t>
      </w:r>
      <w:r w:rsidRPr="00E6798C">
        <w:rPr>
          <w:rFonts w:cs="Calibri"/>
          <w:lang w:eastAsia="fr-FR"/>
        </w:rPr>
        <w:t>Il en sera tenu compte lors de la présentation des dossiers ultérieurs</w:t>
      </w:r>
      <w:r w:rsidRPr="001A24ED">
        <w:rPr>
          <w:rFonts w:cs="Calibri"/>
          <w:lang w:eastAsia="fr-FR"/>
        </w:rPr>
        <w:t xml:space="preserve"> et le nouveau dossier sera refusé </w:t>
      </w:r>
      <w:r>
        <w:rPr>
          <w:rFonts w:cs="Calibri"/>
          <w:lang w:eastAsia="fr-FR"/>
        </w:rPr>
        <w:t xml:space="preserve"> en cas de non production),</w:t>
      </w:r>
    </w:p>
    <w:p w:rsidR="00145BBA" w:rsidRPr="001A24ED"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lang w:eastAsia="fr-FR"/>
        </w:rPr>
        <w:t xml:space="preserve">le </w:t>
      </w:r>
      <w:r w:rsidRPr="0026651E">
        <w:rPr>
          <w:lang w:eastAsia="fr-FR"/>
        </w:rPr>
        <w:t>bilan comptable et les justificatifs de dépenses.</w:t>
      </w:r>
    </w:p>
    <w:p w:rsidR="00145BBA" w:rsidRPr="0026651E" w:rsidRDefault="00145BBA" w:rsidP="00B66856">
      <w:pPr>
        <w:spacing w:after="0" w:line="240" w:lineRule="auto"/>
        <w:ind w:left="357"/>
        <w:jc w:val="both"/>
        <w:rPr>
          <w:lang w:eastAsia="fr-FR"/>
        </w:rPr>
      </w:pPr>
    </w:p>
    <w:p w:rsidR="00145BBA" w:rsidRDefault="00145BBA" w:rsidP="00B66856">
      <w:pPr>
        <w:spacing w:after="0"/>
        <w:ind w:left="357"/>
        <w:jc w:val="both"/>
        <w:rPr>
          <w:rFonts w:cs="Calibri"/>
        </w:rPr>
      </w:pPr>
    </w:p>
    <w:p w:rsidR="00865F2C" w:rsidRPr="009605C9"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sz w:val="24"/>
        </w:rPr>
      </w:pPr>
      <w:r w:rsidRPr="009605C9">
        <w:rPr>
          <w:rFonts w:asciiTheme="minorHAnsi" w:hAnsiTheme="minorHAnsi"/>
          <w:i w:val="0"/>
          <w:sz w:val="24"/>
        </w:rPr>
        <w:t>V – REMPLISSAGE DE LA FICHE PROJET</w:t>
      </w:r>
    </w:p>
    <w:p w:rsidR="00865F2C" w:rsidRPr="009605C9" w:rsidRDefault="00865F2C" w:rsidP="00205F01">
      <w:pPr>
        <w:tabs>
          <w:tab w:val="left" w:pos="3624"/>
          <w:tab w:val="left" w:pos="4253"/>
        </w:tabs>
        <w:spacing w:before="120" w:after="0" w:line="240" w:lineRule="auto"/>
        <w:ind w:left="11" w:hanging="11"/>
        <w:rPr>
          <w:szCs w:val="24"/>
        </w:rPr>
      </w:pPr>
    </w:p>
    <w:p w:rsidR="00865F2C" w:rsidRPr="009605C9" w:rsidRDefault="00865F2C" w:rsidP="00B66856">
      <w:pPr>
        <w:pStyle w:val="PrformatHTML"/>
        <w:tabs>
          <w:tab w:val="left" w:pos="4253"/>
        </w:tabs>
        <w:jc w:val="both"/>
        <w:rPr>
          <w:rFonts w:ascii="Calibri" w:hAnsi="Calibri" w:cs="Calibri"/>
          <w:b/>
          <w:sz w:val="24"/>
          <w:szCs w:val="24"/>
          <w:u w:val="single"/>
        </w:rPr>
      </w:pPr>
      <w:r w:rsidRPr="009605C9">
        <w:rPr>
          <w:rFonts w:ascii="Calibri" w:hAnsi="Calibri" w:cs="Calibri"/>
          <w:b/>
          <w:sz w:val="24"/>
          <w:szCs w:val="24"/>
          <w:u w:val="single"/>
        </w:rPr>
        <w:t xml:space="preserve">Consignes générales préalables au dépôt des dossiers pour lesquels un financement est sollicité </w:t>
      </w:r>
    </w:p>
    <w:p w:rsidR="00865F2C" w:rsidRPr="009605C9" w:rsidRDefault="00865F2C" w:rsidP="00B66856">
      <w:pPr>
        <w:pStyle w:val="PrformatHTML"/>
        <w:tabs>
          <w:tab w:val="left" w:pos="4253"/>
        </w:tabs>
        <w:jc w:val="both"/>
        <w:rPr>
          <w:rFonts w:ascii="Calibri" w:hAnsi="Calibri" w:cs="Calibri"/>
          <w:b/>
          <w:sz w:val="24"/>
          <w:szCs w:val="24"/>
        </w:rPr>
      </w:pPr>
    </w:p>
    <w:p w:rsidR="00865F2C" w:rsidRPr="009605C9" w:rsidRDefault="00865F2C" w:rsidP="00B66856">
      <w:pPr>
        <w:pStyle w:val="PrformatHTML"/>
        <w:tabs>
          <w:tab w:val="left" w:pos="4253"/>
        </w:tabs>
        <w:jc w:val="both"/>
        <w:rPr>
          <w:rFonts w:ascii="Calibri" w:hAnsi="Calibri" w:cs="Calibri"/>
          <w:b/>
          <w:sz w:val="24"/>
          <w:szCs w:val="24"/>
        </w:rPr>
      </w:pPr>
      <w:r w:rsidRPr="009605C9">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rsidR="00865F2C" w:rsidRPr="009605C9" w:rsidRDefault="00865F2C" w:rsidP="00205F01">
      <w:pPr>
        <w:pStyle w:val="PrformatHTML"/>
        <w:tabs>
          <w:tab w:val="left" w:pos="4253"/>
        </w:tabs>
        <w:ind w:left="567"/>
        <w:rPr>
          <w:rFonts w:ascii="Calibri" w:hAnsi="Calibri" w:cs="Calibri"/>
          <w:b/>
          <w:sz w:val="24"/>
          <w:szCs w:val="24"/>
          <w:u w:val="single"/>
        </w:rPr>
      </w:pPr>
    </w:p>
    <w:p w:rsidR="00865F2C" w:rsidRPr="00F12E24" w:rsidRDefault="00865F2C" w:rsidP="00B66856">
      <w:pPr>
        <w:tabs>
          <w:tab w:val="left" w:pos="4253"/>
          <w:tab w:val="left" w:pos="4536"/>
        </w:tabs>
        <w:autoSpaceDE w:val="0"/>
        <w:autoSpaceDN w:val="0"/>
        <w:adjustRightInd w:val="0"/>
        <w:spacing w:after="0" w:line="240" w:lineRule="auto"/>
        <w:ind w:left="426" w:hanging="284"/>
        <w:jc w:val="both"/>
        <w:rPr>
          <w:rFonts w:cs="Calibri"/>
        </w:rPr>
      </w:pPr>
    </w:p>
    <w:p w:rsidR="00865F2C" w:rsidRDefault="00E91DBE" w:rsidP="00B66856">
      <w:pPr>
        <w:tabs>
          <w:tab w:val="left" w:pos="4253"/>
        </w:tabs>
        <w:autoSpaceDE w:val="0"/>
        <w:autoSpaceDN w:val="0"/>
        <w:adjustRightInd w:val="0"/>
        <w:spacing w:after="0" w:line="240" w:lineRule="auto"/>
        <w:ind w:left="284" w:hanging="284"/>
        <w:jc w:val="both"/>
        <w:rPr>
          <w:rFonts w:cs="Calibri"/>
          <w:b/>
        </w:rPr>
      </w:pPr>
      <w:r>
        <w:rPr>
          <w:rFonts w:cs="Calibri"/>
          <w:b/>
          <w:u w:val="single"/>
        </w:rPr>
        <w:t>1</w:t>
      </w:r>
      <w:r w:rsidR="00865F2C" w:rsidRPr="009605C9">
        <w:rPr>
          <w:rFonts w:cs="Calibri"/>
          <w:b/>
          <w:u w:val="single"/>
        </w:rPr>
        <w:t xml:space="preserve"> - Remplissage de la</w:t>
      </w:r>
      <w:r w:rsidR="00865F2C" w:rsidRPr="009605C9">
        <w:rPr>
          <w:rFonts w:cs="Calibri"/>
          <w:u w:val="single"/>
        </w:rPr>
        <w:t xml:space="preserve"> </w:t>
      </w:r>
      <w:r w:rsidR="00865F2C" w:rsidRPr="009605C9">
        <w:rPr>
          <w:rFonts w:cs="Calibri"/>
          <w:b/>
          <w:u w:val="single"/>
        </w:rPr>
        <w:t>fiche projet</w:t>
      </w:r>
      <w:r w:rsidR="00865F2C" w:rsidRPr="009605C9">
        <w:rPr>
          <w:rFonts w:cs="Calibri"/>
          <w:b/>
        </w:rPr>
        <w:t xml:space="preserve"> (</w:t>
      </w:r>
      <w:proofErr w:type="spellStart"/>
      <w:r w:rsidR="00865F2C" w:rsidRPr="009605C9">
        <w:rPr>
          <w:rFonts w:cs="Calibri"/>
          <w:b/>
        </w:rPr>
        <w:t>cf</w:t>
      </w:r>
      <w:proofErr w:type="spellEnd"/>
      <w:r w:rsidR="00865F2C" w:rsidRPr="009605C9">
        <w:rPr>
          <w:rFonts w:cs="Calibri"/>
          <w:b/>
        </w:rPr>
        <w:t xml:space="preserve"> annexe) :</w:t>
      </w:r>
    </w:p>
    <w:p w:rsidR="00FE3D78" w:rsidRPr="009605C9" w:rsidRDefault="00FE3D78" w:rsidP="00B66856">
      <w:pPr>
        <w:tabs>
          <w:tab w:val="left" w:pos="4253"/>
        </w:tabs>
        <w:autoSpaceDE w:val="0"/>
        <w:autoSpaceDN w:val="0"/>
        <w:adjustRightInd w:val="0"/>
        <w:spacing w:after="0" w:line="240" w:lineRule="auto"/>
        <w:ind w:left="284" w:hanging="284"/>
        <w:jc w:val="both"/>
        <w:rPr>
          <w:rFonts w:cs="Calibri"/>
          <w:b/>
        </w:rPr>
      </w:pPr>
    </w:p>
    <w:p w:rsidR="00865F2C" w:rsidRDefault="00865F2C" w:rsidP="00B66856">
      <w:pPr>
        <w:tabs>
          <w:tab w:val="left" w:pos="4253"/>
        </w:tabs>
        <w:autoSpaceDE w:val="0"/>
        <w:autoSpaceDN w:val="0"/>
        <w:adjustRightInd w:val="0"/>
        <w:spacing w:after="0" w:line="240" w:lineRule="auto"/>
        <w:ind w:left="284" w:hanging="284"/>
        <w:jc w:val="both"/>
        <w:rPr>
          <w:rFonts w:cs="Calibri"/>
          <w:bCs/>
        </w:rPr>
      </w:pPr>
      <w:r w:rsidRPr="009605C9">
        <w:rPr>
          <w:rFonts w:cs="Calibri"/>
          <w:b/>
          <w:u w:val="single"/>
        </w:rPr>
        <w:t>Il convient de respecter les règles suivantes </w:t>
      </w:r>
      <w:r w:rsidRPr="009605C9">
        <w:rPr>
          <w:rFonts w:cs="Calibri"/>
          <w:bCs/>
        </w:rPr>
        <w:t>:</w:t>
      </w:r>
    </w:p>
    <w:p w:rsidR="00FE3D78" w:rsidRPr="009605C9" w:rsidRDefault="00FE3D78" w:rsidP="00B66856">
      <w:pPr>
        <w:tabs>
          <w:tab w:val="left" w:pos="4253"/>
        </w:tabs>
        <w:autoSpaceDE w:val="0"/>
        <w:autoSpaceDN w:val="0"/>
        <w:adjustRightInd w:val="0"/>
        <w:spacing w:after="0" w:line="240" w:lineRule="auto"/>
        <w:ind w:left="284" w:hanging="284"/>
        <w:jc w:val="both"/>
        <w:rPr>
          <w:rFonts w:cs="Calibri"/>
          <w:bCs/>
        </w:rPr>
      </w:pPr>
    </w:p>
    <w:p w:rsidR="00865F2C"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9605C9">
        <w:rPr>
          <w:rFonts w:cs="Calibri"/>
          <w:u w:val="single"/>
        </w:rPr>
        <w:t xml:space="preserve"> une seule fiche </w:t>
      </w:r>
      <w:r w:rsidRPr="009605C9">
        <w:rPr>
          <w:rFonts w:cs="Calibri"/>
        </w:rPr>
        <w:t>par projet envoyée par le promoteur ;</w:t>
      </w:r>
    </w:p>
    <w:p w:rsidR="00FE3D78" w:rsidRPr="009605C9" w:rsidRDefault="00FE3D78" w:rsidP="00FE3D78">
      <w:pPr>
        <w:pStyle w:val="Paragraphedeliste"/>
        <w:tabs>
          <w:tab w:val="left" w:pos="4253"/>
        </w:tabs>
        <w:autoSpaceDE w:val="0"/>
        <w:autoSpaceDN w:val="0"/>
        <w:adjustRightInd w:val="0"/>
        <w:spacing w:after="0" w:line="240" w:lineRule="auto"/>
        <w:ind w:left="426"/>
        <w:jc w:val="both"/>
        <w:rPr>
          <w:rFonts w:cs="Calibri"/>
        </w:rPr>
      </w:pPr>
    </w:p>
    <w:p w:rsidR="00865F2C"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9605C9">
        <w:rPr>
          <w:rFonts w:cs="Calibri"/>
        </w:rPr>
        <w:t>la fiche projet décline chacune des actions constituant le projet ;</w:t>
      </w:r>
    </w:p>
    <w:p w:rsidR="00FE3D78" w:rsidRPr="004C3E72" w:rsidRDefault="00FE3D78" w:rsidP="004C3E72">
      <w:pPr>
        <w:tabs>
          <w:tab w:val="left" w:pos="4253"/>
        </w:tabs>
        <w:autoSpaceDE w:val="0"/>
        <w:autoSpaceDN w:val="0"/>
        <w:adjustRightInd w:val="0"/>
        <w:spacing w:after="0" w:line="240" w:lineRule="auto"/>
        <w:jc w:val="both"/>
        <w:rPr>
          <w:rFonts w:cs="Calibri"/>
        </w:rPr>
      </w:pPr>
    </w:p>
    <w:p w:rsidR="00865F2C" w:rsidRPr="00FE3D78"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9605C9">
        <w:rPr>
          <w:rFonts w:cs="Calibri"/>
        </w:rPr>
        <w:t>les différentes actions d’un même projet</w:t>
      </w:r>
      <w:r w:rsidRPr="009605C9">
        <w:rPr>
          <w:rFonts w:cs="Calibri"/>
          <w:b/>
        </w:rPr>
        <w:t xml:space="preserve"> </w:t>
      </w:r>
      <w:r w:rsidRPr="009605C9">
        <w:rPr>
          <w:rFonts w:cs="Calibri"/>
        </w:rPr>
        <w:t xml:space="preserve">(ex : un forum, suivi d’ateliers de sensibilisation) ou les déclinaisons d’une même action envers différents publics </w:t>
      </w:r>
      <w:r w:rsidR="009C48AA" w:rsidRPr="009605C9">
        <w:rPr>
          <w:rFonts w:cs="Calibri"/>
        </w:rPr>
        <w:t xml:space="preserve">ou dans différents lieux </w:t>
      </w:r>
      <w:r w:rsidRPr="009605C9">
        <w:rPr>
          <w:rFonts w:cs="Calibri"/>
          <w:u w:val="single"/>
        </w:rPr>
        <w:t xml:space="preserve">doivent être </w:t>
      </w:r>
      <w:r w:rsidR="005D36F6">
        <w:rPr>
          <w:rFonts w:cs="Calibri"/>
          <w:u w:val="single"/>
        </w:rPr>
        <w:t>décrit</w:t>
      </w:r>
      <w:r w:rsidR="005D36F6" w:rsidRPr="009605C9">
        <w:rPr>
          <w:rFonts w:cs="Calibri"/>
          <w:u w:val="single"/>
        </w:rPr>
        <w:t xml:space="preserve">es </w:t>
      </w:r>
      <w:r w:rsidR="009C48AA" w:rsidRPr="009605C9">
        <w:rPr>
          <w:rFonts w:cs="Calibri"/>
          <w:u w:val="single"/>
        </w:rPr>
        <w:t>par le promoteur</w:t>
      </w:r>
      <w:r w:rsidRPr="009605C9">
        <w:rPr>
          <w:rFonts w:cs="Calibri"/>
          <w:u w:val="single"/>
        </w:rPr>
        <w:t xml:space="preserve"> dans une même fiche projet ;</w:t>
      </w:r>
    </w:p>
    <w:p w:rsidR="00FE3D78" w:rsidRPr="009605C9" w:rsidRDefault="00FE3D78" w:rsidP="00FE3D78">
      <w:pPr>
        <w:tabs>
          <w:tab w:val="left" w:pos="4253"/>
        </w:tabs>
        <w:autoSpaceDE w:val="0"/>
        <w:autoSpaceDN w:val="0"/>
        <w:adjustRightInd w:val="0"/>
        <w:spacing w:after="0" w:line="240" w:lineRule="auto"/>
        <w:ind w:left="426"/>
        <w:jc w:val="both"/>
        <w:rPr>
          <w:rFonts w:cs="Calibri"/>
        </w:rPr>
      </w:pPr>
    </w:p>
    <w:p w:rsidR="00865F2C" w:rsidRPr="00FE3D78"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9605C9">
        <w:rPr>
          <w:rFonts w:cs="Calibri"/>
        </w:rPr>
        <w:t xml:space="preserve">la fiche projet ne doit </w:t>
      </w:r>
      <w:r w:rsidRPr="009605C9">
        <w:rPr>
          <w:rFonts w:cs="Calibri"/>
          <w:u w:val="single"/>
        </w:rPr>
        <w:t xml:space="preserve">pas être modifiée par le promoteur </w:t>
      </w:r>
      <w:r w:rsidR="009C48AA" w:rsidRPr="009605C9">
        <w:rPr>
          <w:rFonts w:cs="Calibri"/>
          <w:u w:val="single"/>
        </w:rPr>
        <w:t>ni</w:t>
      </w:r>
      <w:r w:rsidRPr="009605C9">
        <w:rPr>
          <w:rFonts w:cs="Calibri"/>
          <w:u w:val="single"/>
        </w:rPr>
        <w:t xml:space="preserve"> la Caisse dans sa structuration ;</w:t>
      </w:r>
    </w:p>
    <w:p w:rsidR="00FE3D78" w:rsidRPr="009605C9" w:rsidRDefault="00FE3D78" w:rsidP="00FE3D78">
      <w:pPr>
        <w:tabs>
          <w:tab w:val="left" w:pos="4253"/>
        </w:tabs>
        <w:autoSpaceDE w:val="0"/>
        <w:autoSpaceDN w:val="0"/>
        <w:adjustRightInd w:val="0"/>
        <w:spacing w:after="0" w:line="240" w:lineRule="auto"/>
        <w:ind w:left="426"/>
        <w:jc w:val="both"/>
        <w:rPr>
          <w:rFonts w:cs="Calibri"/>
        </w:rPr>
      </w:pPr>
    </w:p>
    <w:p w:rsidR="00865F2C"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9605C9">
        <w:rPr>
          <w:rFonts w:cs="Calibri"/>
        </w:rPr>
        <w:t xml:space="preserve">le descriptif des actions doit être </w:t>
      </w:r>
      <w:r w:rsidRPr="009605C9">
        <w:rPr>
          <w:rFonts w:cs="Calibri"/>
          <w:b/>
        </w:rPr>
        <w:t xml:space="preserve">suffisamment précis </w:t>
      </w:r>
      <w:r w:rsidRPr="009605C9">
        <w:rPr>
          <w:rFonts w:cs="Calibri"/>
        </w:rPr>
        <w:t>pour l’analyse et l’instruction au</w:t>
      </w:r>
      <w:r w:rsidR="009C48AA" w:rsidRPr="009605C9">
        <w:rPr>
          <w:rFonts w:cs="Calibri"/>
        </w:rPr>
        <w:t>x</w:t>
      </w:r>
      <w:r w:rsidRPr="009605C9">
        <w:rPr>
          <w:rFonts w:cs="Calibri"/>
        </w:rPr>
        <w:t xml:space="preserve"> niveau</w:t>
      </w:r>
      <w:r w:rsidR="009C48AA" w:rsidRPr="009605C9">
        <w:rPr>
          <w:rFonts w:cs="Calibri"/>
        </w:rPr>
        <w:t>x</w:t>
      </w:r>
      <w:r w:rsidRPr="009605C9">
        <w:rPr>
          <w:rFonts w:cs="Calibri"/>
        </w:rPr>
        <w:t xml:space="preserve"> local et</w:t>
      </w:r>
      <w:r w:rsidR="009C48AA" w:rsidRPr="009605C9">
        <w:rPr>
          <w:rFonts w:cs="Calibri"/>
        </w:rPr>
        <w:t xml:space="preserve"> régional ainsi que</w:t>
      </w:r>
      <w:r w:rsidRPr="009605C9">
        <w:rPr>
          <w:rFonts w:cs="Calibri"/>
        </w:rPr>
        <w:t xml:space="preserve"> pour la validation au niveau national</w:t>
      </w:r>
      <w:r w:rsidR="00657D8D">
        <w:rPr>
          <w:rFonts w:cs="Calibri"/>
        </w:rPr>
        <w:t xml:space="preserve"> (ex pour la tenue d’ateliers, indiquer obligatoirement le nombre de séances, le sujet de chacune, le nombre d’intervenants et leur qualification, le nombre de vacations et les tarifs)</w:t>
      </w:r>
      <w:r w:rsidRPr="009605C9">
        <w:rPr>
          <w:rFonts w:cs="Calibri"/>
        </w:rPr>
        <w:t> ;</w:t>
      </w:r>
    </w:p>
    <w:p w:rsidR="00FE3D78" w:rsidRPr="009605C9" w:rsidRDefault="00FE3D78" w:rsidP="00FE3D78">
      <w:pPr>
        <w:tabs>
          <w:tab w:val="left" w:pos="4253"/>
        </w:tabs>
        <w:autoSpaceDE w:val="0"/>
        <w:autoSpaceDN w:val="0"/>
        <w:adjustRightInd w:val="0"/>
        <w:spacing w:after="0" w:line="240" w:lineRule="auto"/>
        <w:ind w:left="426"/>
        <w:jc w:val="both"/>
        <w:rPr>
          <w:rFonts w:cs="Calibri"/>
        </w:rPr>
      </w:pPr>
    </w:p>
    <w:p w:rsidR="00865F2C"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9605C9">
        <w:rPr>
          <w:rFonts w:cs="Calibri"/>
        </w:rPr>
        <w:lastRenderedPageBreak/>
        <w:t xml:space="preserve">le tableau des postes de dépenses doit être conservé en l’état et dûment rempli </w:t>
      </w:r>
      <w:r w:rsidRPr="009605C9">
        <w:rPr>
          <w:rFonts w:cs="Calibri"/>
          <w:b/>
        </w:rPr>
        <w:t>de façon</w:t>
      </w:r>
      <w:r w:rsidRPr="009605C9">
        <w:rPr>
          <w:rFonts w:cs="Calibri"/>
          <w:b/>
          <w:u w:val="single"/>
        </w:rPr>
        <w:t xml:space="preserve"> </w:t>
      </w:r>
      <w:r w:rsidRPr="009605C9">
        <w:rPr>
          <w:rFonts w:cs="Calibri"/>
          <w:b/>
        </w:rPr>
        <w:t xml:space="preserve">détaillée pour chacune </w:t>
      </w:r>
      <w:r w:rsidRPr="009605C9">
        <w:rPr>
          <w:rFonts w:cs="Calibri"/>
        </w:rPr>
        <w:t>des actions afin d’identifier pour chacune son coût, et en respectant les règles des critères d’attribution des crédits ;</w:t>
      </w:r>
    </w:p>
    <w:p w:rsidR="004C3E72" w:rsidRPr="009605C9" w:rsidRDefault="004C3E72" w:rsidP="004C3E72">
      <w:pPr>
        <w:tabs>
          <w:tab w:val="left" w:pos="4253"/>
        </w:tabs>
        <w:autoSpaceDE w:val="0"/>
        <w:autoSpaceDN w:val="0"/>
        <w:adjustRightInd w:val="0"/>
        <w:spacing w:after="0" w:line="240" w:lineRule="auto"/>
        <w:jc w:val="both"/>
        <w:rPr>
          <w:rFonts w:cs="Calibri"/>
        </w:rPr>
      </w:pPr>
    </w:p>
    <w:p w:rsidR="00865F2C" w:rsidRPr="009605C9"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9605C9">
        <w:rPr>
          <w:rFonts w:cs="Calibri"/>
        </w:rPr>
        <w:t xml:space="preserve">les crédits sollicités doivent être </w:t>
      </w:r>
      <w:r w:rsidRPr="009605C9">
        <w:rPr>
          <w:rFonts w:cs="Calibri"/>
          <w:b/>
        </w:rPr>
        <w:t>suffisamment</w:t>
      </w:r>
      <w:r w:rsidRPr="009605C9">
        <w:rPr>
          <w:rFonts w:cs="Calibri"/>
        </w:rPr>
        <w:t xml:space="preserve"> </w:t>
      </w:r>
      <w:r w:rsidRPr="009605C9">
        <w:rPr>
          <w:rFonts w:cs="Calibri"/>
          <w:b/>
        </w:rPr>
        <w:t xml:space="preserve">détaillés </w:t>
      </w:r>
      <w:r w:rsidRPr="009605C9">
        <w:rPr>
          <w:rFonts w:cs="Calibri"/>
        </w:rPr>
        <w:t xml:space="preserve">de façon à permettre, s’agissant de l’utilisation de fonds publics, une </w:t>
      </w:r>
      <w:r w:rsidRPr="009605C9">
        <w:rPr>
          <w:rFonts w:cs="Calibri"/>
          <w:b/>
        </w:rPr>
        <w:t>visibilité poste de dépense par poste de dépense</w:t>
      </w:r>
      <w:r w:rsidRPr="009605C9">
        <w:rPr>
          <w:rFonts w:cs="Calibri"/>
        </w:rPr>
        <w:t xml:space="preserve"> et doivent être différenciés des autres cofinancements demandés. </w:t>
      </w:r>
    </w:p>
    <w:p w:rsidR="00865F2C" w:rsidRPr="009605C9" w:rsidRDefault="00865F2C" w:rsidP="00B66856">
      <w:pPr>
        <w:tabs>
          <w:tab w:val="left" w:pos="4253"/>
        </w:tabs>
        <w:spacing w:after="0" w:line="240" w:lineRule="auto"/>
        <w:ind w:left="426" w:right="260"/>
        <w:jc w:val="both"/>
      </w:pPr>
    </w:p>
    <w:p w:rsidR="00E91DBE" w:rsidRDefault="009B4C2F" w:rsidP="00E91DBE">
      <w:pPr>
        <w:tabs>
          <w:tab w:val="left" w:pos="4253"/>
        </w:tabs>
        <w:autoSpaceDE w:val="0"/>
        <w:autoSpaceDN w:val="0"/>
        <w:adjustRightInd w:val="0"/>
        <w:spacing w:after="0" w:line="240" w:lineRule="auto"/>
        <w:rPr>
          <w:rFonts w:cs="Calibri"/>
          <w:b/>
        </w:rPr>
      </w:pPr>
      <w:r>
        <w:rPr>
          <w:rFonts w:cs="Calibri"/>
        </w:rPr>
        <w:t xml:space="preserve">Chaque fiche projet devra comprendre </w:t>
      </w:r>
      <w:r w:rsidRPr="00CC58A6">
        <w:rPr>
          <w:rFonts w:cs="Calibri"/>
          <w:b/>
        </w:rPr>
        <w:t>obligatoirement</w:t>
      </w:r>
      <w:r w:rsidRPr="00CC58A6">
        <w:rPr>
          <w:rFonts w:cs="Calibri"/>
        </w:rPr>
        <w:t xml:space="preserve"> une </w:t>
      </w:r>
      <w:r w:rsidRPr="00CC58A6">
        <w:rPr>
          <w:rFonts w:cs="Calibri"/>
          <w:b/>
        </w:rPr>
        <w:t>description précise des actions</w:t>
      </w:r>
      <w:r w:rsidR="00B9165A">
        <w:rPr>
          <w:rFonts w:cs="Calibri"/>
          <w:b/>
        </w:rPr>
        <w:t xml:space="preserve">, de son calendrier </w:t>
      </w:r>
      <w:r w:rsidRPr="00CC58A6">
        <w:rPr>
          <w:rFonts w:cs="Calibri"/>
          <w:b/>
        </w:rPr>
        <w:t xml:space="preserve"> et des postes budgétaires</w:t>
      </w:r>
      <w:r w:rsidR="005D36F6">
        <w:rPr>
          <w:rFonts w:cs="Calibri"/>
          <w:b/>
        </w:rPr>
        <w:t xml:space="preserve"> pour chacune d’elles.</w:t>
      </w:r>
    </w:p>
    <w:p w:rsidR="00E91DBE" w:rsidRDefault="00E91DBE" w:rsidP="00E91DBE">
      <w:pPr>
        <w:tabs>
          <w:tab w:val="left" w:pos="4253"/>
        </w:tabs>
        <w:autoSpaceDE w:val="0"/>
        <w:autoSpaceDN w:val="0"/>
        <w:adjustRightInd w:val="0"/>
        <w:spacing w:after="0" w:line="240" w:lineRule="auto"/>
        <w:rPr>
          <w:rFonts w:cs="Calibri"/>
          <w:b/>
        </w:rPr>
      </w:pPr>
    </w:p>
    <w:p w:rsidR="00E91DBE" w:rsidRDefault="00E91DBE" w:rsidP="00E91DBE">
      <w:pPr>
        <w:tabs>
          <w:tab w:val="left" w:pos="4253"/>
        </w:tabs>
        <w:autoSpaceDE w:val="0"/>
        <w:autoSpaceDN w:val="0"/>
        <w:adjustRightInd w:val="0"/>
        <w:spacing w:after="0" w:line="240" w:lineRule="auto"/>
        <w:rPr>
          <w:rFonts w:cs="Calibri"/>
          <w:b/>
        </w:rPr>
      </w:pPr>
      <w:r>
        <w:rPr>
          <w:rFonts w:cs="Calibri"/>
          <w:b/>
        </w:rPr>
        <w:t>2</w:t>
      </w:r>
      <w:r w:rsidRPr="009605C9">
        <w:rPr>
          <w:rFonts w:cs="Calibri"/>
          <w:b/>
        </w:rPr>
        <w:t>-</w:t>
      </w:r>
      <w:r w:rsidRPr="009605C9">
        <w:rPr>
          <w:rFonts w:cs="Calibri"/>
          <w:b/>
          <w:u w:val="single"/>
        </w:rPr>
        <w:t xml:space="preserve">Envoi des dossiers de demande de financement </w:t>
      </w:r>
      <w:r w:rsidRPr="009605C9">
        <w:rPr>
          <w:rFonts w:cs="Calibri"/>
          <w:b/>
        </w:rPr>
        <w:t xml:space="preserve">: </w:t>
      </w:r>
    </w:p>
    <w:p w:rsidR="00E91DBE" w:rsidRPr="009605C9" w:rsidRDefault="00E91DBE" w:rsidP="00E91DBE">
      <w:pPr>
        <w:tabs>
          <w:tab w:val="left" w:pos="4253"/>
        </w:tabs>
        <w:autoSpaceDE w:val="0"/>
        <w:autoSpaceDN w:val="0"/>
        <w:adjustRightInd w:val="0"/>
        <w:spacing w:after="0" w:line="240" w:lineRule="auto"/>
        <w:rPr>
          <w:rFonts w:cs="Calibri"/>
          <w:b/>
        </w:rPr>
      </w:pPr>
    </w:p>
    <w:p w:rsidR="00E91DBE" w:rsidRDefault="00E91DBE" w:rsidP="00E91DBE">
      <w:pPr>
        <w:tabs>
          <w:tab w:val="left" w:pos="4253"/>
          <w:tab w:val="left" w:pos="4536"/>
        </w:tabs>
        <w:autoSpaceDE w:val="0"/>
        <w:autoSpaceDN w:val="0"/>
        <w:adjustRightInd w:val="0"/>
        <w:spacing w:after="0" w:line="240" w:lineRule="auto"/>
        <w:jc w:val="both"/>
        <w:rPr>
          <w:rFonts w:cs="Calibri"/>
        </w:rPr>
      </w:pPr>
      <w:r w:rsidRPr="009605C9">
        <w:rPr>
          <w:rFonts w:cs="Calibri"/>
          <w:b/>
        </w:rPr>
        <w:t>Il doit être effectué uniquement</w:t>
      </w:r>
      <w:r w:rsidRPr="009605C9">
        <w:rPr>
          <w:rFonts w:cs="Calibri"/>
        </w:rPr>
        <w:t xml:space="preserve"> auprès des services de la Caisse Primaire d’Assurance Maladie ou de la Caisse Générale de Sécurité Sociale dans le ressort de laquelle le porteur de projets est  implanté,</w:t>
      </w:r>
      <w:r w:rsidRPr="009605C9">
        <w:rPr>
          <w:rFonts w:cs="Calibri"/>
          <w:i/>
        </w:rPr>
        <w:t xml:space="preserve"> </w:t>
      </w:r>
      <w:r w:rsidRPr="009605C9">
        <w:rPr>
          <w:rFonts w:cs="Calibri"/>
        </w:rPr>
        <w:t>en veillant à respecter strictement les règles suivantes afin de faciliter leur traitement :</w:t>
      </w:r>
    </w:p>
    <w:p w:rsidR="00E91DBE" w:rsidRPr="009605C9" w:rsidRDefault="00E91DBE" w:rsidP="00E91DBE">
      <w:pPr>
        <w:tabs>
          <w:tab w:val="left" w:pos="4253"/>
          <w:tab w:val="left" w:pos="4536"/>
        </w:tabs>
        <w:autoSpaceDE w:val="0"/>
        <w:autoSpaceDN w:val="0"/>
        <w:adjustRightInd w:val="0"/>
        <w:spacing w:after="0" w:line="240" w:lineRule="auto"/>
        <w:jc w:val="both"/>
        <w:rPr>
          <w:rFonts w:cs="Calibri"/>
        </w:rPr>
      </w:pPr>
    </w:p>
    <w:p w:rsidR="00E91DBE"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9605C9">
        <w:rPr>
          <w:rFonts w:cs="Calibri"/>
        </w:rPr>
        <w:t xml:space="preserve">un </w:t>
      </w:r>
      <w:r w:rsidRPr="009605C9">
        <w:rPr>
          <w:rFonts w:cs="Calibri"/>
          <w:b/>
        </w:rPr>
        <w:t xml:space="preserve">seul envoi doit être fait pour </w:t>
      </w:r>
      <w:r w:rsidRPr="009605C9">
        <w:rPr>
          <w:rFonts w:cs="Calibri"/>
        </w:rPr>
        <w:t>l’</w:t>
      </w:r>
      <w:r w:rsidRPr="009605C9">
        <w:rPr>
          <w:rFonts w:cs="Calibri"/>
          <w:b/>
        </w:rPr>
        <w:t>ensemble</w:t>
      </w:r>
      <w:r w:rsidRPr="009605C9">
        <w:rPr>
          <w:rFonts w:cs="Calibri"/>
        </w:rPr>
        <w:t xml:space="preserve"> des projets si le promoteur porte plusieurs projets. Ne pas annuler, modifier, ou remplacer un projet, ne pas procéder à des demandes « au fil de l’eau » ; ne pas adresser de demandes de financement complémentaires ;</w:t>
      </w:r>
    </w:p>
    <w:p w:rsidR="00E91DBE" w:rsidRPr="009605C9"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rsidR="00E91DBE"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DD569B">
        <w:rPr>
          <w:rFonts w:cs="Calibri"/>
        </w:rPr>
        <w:t xml:space="preserve">dans le respect strict des </w:t>
      </w:r>
      <w:r w:rsidRPr="00DD569B">
        <w:rPr>
          <w:rFonts w:cs="Calibri"/>
          <w:b/>
        </w:rPr>
        <w:t>dates d’envoi</w:t>
      </w:r>
      <w:r w:rsidRPr="00DD569B">
        <w:rPr>
          <w:rFonts w:cs="Calibri"/>
        </w:rPr>
        <w:t xml:space="preserve"> fixées par la Caisse ;</w:t>
      </w:r>
    </w:p>
    <w:p w:rsidR="00E91DBE" w:rsidRPr="00DD569B"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rsidR="00E91DBE" w:rsidRPr="00221F09"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221F09">
        <w:rPr>
          <w:rFonts w:cs="Calibri"/>
        </w:rPr>
        <w:t xml:space="preserve">il est demandé de joindre à l’envoi de dépôt du projet l’évaluation des actions réalisées précédemment.  </w:t>
      </w:r>
    </w:p>
    <w:p w:rsidR="00E91DBE" w:rsidRDefault="00E91DBE" w:rsidP="00B66856">
      <w:pPr>
        <w:jc w:val="both"/>
      </w:pPr>
    </w:p>
    <w:p w:rsidR="00F63D72" w:rsidRPr="00622811" w:rsidRDefault="00F63D72" w:rsidP="00B66856">
      <w:pPr>
        <w:jc w:val="both"/>
      </w:pPr>
      <w:r w:rsidRPr="00622811">
        <w:t xml:space="preserve">Chaque action doit </w:t>
      </w:r>
      <w:r w:rsidRPr="00622811">
        <w:rPr>
          <w:b/>
        </w:rPr>
        <w:t xml:space="preserve">obligatoirement </w:t>
      </w:r>
      <w:r w:rsidRPr="00622811">
        <w:t>faire l’objet d’un suivi et d’une évaluation dès lors qu’elle a obtenu un financement (partiel ou intégral) de l’Assurance Maladie.</w:t>
      </w:r>
    </w:p>
    <w:p w:rsidR="00AE21DC" w:rsidRDefault="00F63D72" w:rsidP="00B66856">
      <w:pPr>
        <w:tabs>
          <w:tab w:val="left" w:pos="4395"/>
        </w:tabs>
        <w:jc w:val="both"/>
        <w:rPr>
          <w:rFonts w:cs="Calibri"/>
          <w:b/>
        </w:rPr>
      </w:pPr>
      <w:r w:rsidRPr="009872BA">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rsidR="002B1E1D" w:rsidRPr="002B1E1D" w:rsidRDefault="002B1E1D" w:rsidP="00B66856">
      <w:pPr>
        <w:tabs>
          <w:tab w:val="left" w:pos="4395"/>
        </w:tabs>
        <w:jc w:val="both"/>
        <w:rPr>
          <w:rFonts w:cs="Calibri"/>
        </w:rPr>
      </w:pPr>
    </w:p>
    <w:p w:rsidR="00E936C8" w:rsidRPr="00661B2B"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661B2B">
        <w:rPr>
          <w:rFonts w:cs="Calibri"/>
          <w:b/>
          <w:color w:val="002060"/>
          <w:u w:val="single"/>
        </w:rPr>
        <w:t>POINTS DE VIGILANCE</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Les critères suivants doivent être respectés : </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s’inscrire dans le champ des actions et publics prioritaires retenus ;</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 </w:t>
      </w:r>
      <w:r w:rsidR="00E92F2D" w:rsidRPr="00661B2B">
        <w:rPr>
          <w:rFonts w:cs="Calibri"/>
          <w:color w:val="002060"/>
        </w:rPr>
        <w:t>concerner des actions collectives de proximité</w:t>
      </w:r>
      <w:r w:rsidR="002C5C6F" w:rsidRPr="00661B2B">
        <w:rPr>
          <w:rFonts w:cs="Calibri"/>
          <w:color w:val="002060"/>
        </w:rPr>
        <w:t xml:space="preserve"> </w:t>
      </w:r>
      <w:r w:rsidRPr="00661B2B">
        <w:rPr>
          <w:rFonts w:cs="Calibri"/>
          <w:color w:val="002060"/>
        </w:rPr>
        <w:t>;</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 Chaque action se doit d’être en conformité avec les recommandations de la HAS et </w:t>
      </w:r>
      <w:r w:rsidR="002C5C6F" w:rsidRPr="00661B2B">
        <w:rPr>
          <w:rFonts w:cs="Calibri"/>
          <w:color w:val="002060"/>
        </w:rPr>
        <w:t>l</w:t>
      </w:r>
      <w:r w:rsidRPr="00661B2B">
        <w:rPr>
          <w:rFonts w:cs="Calibri"/>
          <w:color w:val="002060"/>
        </w:rPr>
        <w:t>es textes réglementaires en vigueur</w:t>
      </w:r>
      <w:r w:rsidR="002C5C6F" w:rsidRPr="00661B2B">
        <w:rPr>
          <w:rFonts w:cs="Calibri"/>
          <w:color w:val="002060"/>
        </w:rPr>
        <w:t xml:space="preserve"> </w:t>
      </w:r>
      <w:r w:rsidRPr="00661B2B">
        <w:rPr>
          <w:rFonts w:cs="Calibri"/>
          <w:color w:val="002060"/>
        </w:rPr>
        <w:t>;</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 Utiliser les supports de communication </w:t>
      </w:r>
      <w:r w:rsidR="002C5C6F" w:rsidRPr="00661B2B">
        <w:rPr>
          <w:rFonts w:cs="Calibri"/>
          <w:color w:val="002060"/>
        </w:rPr>
        <w:t>nationaux ;</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 comprendre </w:t>
      </w:r>
      <w:r w:rsidRPr="00661B2B">
        <w:rPr>
          <w:rFonts w:cs="Calibri"/>
          <w:b/>
          <w:color w:val="002060"/>
        </w:rPr>
        <w:t>obligatoirement</w:t>
      </w:r>
      <w:r w:rsidRPr="00661B2B">
        <w:rPr>
          <w:rFonts w:cs="Calibri"/>
          <w:color w:val="002060"/>
        </w:rPr>
        <w:t xml:space="preserve"> une </w:t>
      </w:r>
      <w:r w:rsidRPr="00661B2B">
        <w:rPr>
          <w:rFonts w:cs="Calibri"/>
          <w:b/>
          <w:color w:val="002060"/>
        </w:rPr>
        <w:t>description précise des actions</w:t>
      </w:r>
      <w:r w:rsidR="00E92F2D" w:rsidRPr="00661B2B">
        <w:rPr>
          <w:rFonts w:cs="Calibri"/>
          <w:b/>
          <w:color w:val="002060"/>
        </w:rPr>
        <w:t>, de leur calendrier de réalisation</w:t>
      </w:r>
      <w:r w:rsidRPr="00661B2B">
        <w:rPr>
          <w:rFonts w:cs="Calibri"/>
          <w:b/>
          <w:color w:val="002060"/>
        </w:rPr>
        <w:t xml:space="preserve"> et des postes budgétaires </w:t>
      </w:r>
      <w:r w:rsidRPr="00661B2B">
        <w:rPr>
          <w:rFonts w:cs="Calibri"/>
          <w:color w:val="002060"/>
        </w:rPr>
        <w:t xml:space="preserve">pour permettre </w:t>
      </w:r>
      <w:r w:rsidR="00E92F2D" w:rsidRPr="00661B2B">
        <w:rPr>
          <w:rFonts w:cs="Calibri"/>
          <w:color w:val="002060"/>
        </w:rPr>
        <w:t xml:space="preserve">une bonne compréhension des actions </w:t>
      </w:r>
      <w:r w:rsidRPr="00661B2B">
        <w:rPr>
          <w:rFonts w:cs="Calibri"/>
          <w:color w:val="002060"/>
        </w:rPr>
        <w:t>aux niveaux local</w:t>
      </w:r>
      <w:r w:rsidR="00E92F2D" w:rsidRPr="00661B2B">
        <w:rPr>
          <w:rFonts w:cs="Calibri"/>
          <w:color w:val="002060"/>
        </w:rPr>
        <w:t>,</w:t>
      </w:r>
      <w:r w:rsidRPr="00661B2B">
        <w:rPr>
          <w:rFonts w:cs="Calibri"/>
          <w:strike/>
          <w:color w:val="002060"/>
        </w:rPr>
        <w:t xml:space="preserve"> et</w:t>
      </w:r>
      <w:r w:rsidRPr="00661B2B">
        <w:rPr>
          <w:rFonts w:cs="Calibri"/>
          <w:color w:val="002060"/>
        </w:rPr>
        <w:t xml:space="preserve"> régional </w:t>
      </w:r>
      <w:r w:rsidR="00E92F2D" w:rsidRPr="00661B2B">
        <w:rPr>
          <w:rFonts w:cs="Calibri"/>
          <w:color w:val="002060"/>
        </w:rPr>
        <w:t xml:space="preserve">et national, </w:t>
      </w:r>
      <w:r w:rsidR="00C76AD1">
        <w:rPr>
          <w:rFonts w:cs="Calibri"/>
          <w:color w:val="002060"/>
        </w:rPr>
        <w:t>et</w:t>
      </w:r>
      <w:r w:rsidR="002C5C6F" w:rsidRPr="00661B2B">
        <w:rPr>
          <w:rFonts w:cs="Calibri"/>
          <w:color w:val="002060"/>
        </w:rPr>
        <w:t xml:space="preserve"> prendre une</w:t>
      </w:r>
      <w:r w:rsidR="00E92F2D" w:rsidRPr="00661B2B">
        <w:rPr>
          <w:rFonts w:cs="Calibri"/>
          <w:color w:val="002060"/>
        </w:rPr>
        <w:t xml:space="preserve"> décision éclairée d’attribution </w:t>
      </w:r>
      <w:r w:rsidR="002C5C6F" w:rsidRPr="00661B2B">
        <w:rPr>
          <w:rFonts w:cs="Calibri"/>
          <w:color w:val="002060"/>
        </w:rPr>
        <w:t xml:space="preserve">ou non </w:t>
      </w:r>
      <w:r w:rsidR="00E92F2D" w:rsidRPr="00661B2B">
        <w:rPr>
          <w:rFonts w:cs="Calibri"/>
          <w:color w:val="002060"/>
        </w:rPr>
        <w:t xml:space="preserve">des financements </w:t>
      </w:r>
      <w:r w:rsidRPr="00661B2B">
        <w:rPr>
          <w:rFonts w:cs="Calibri"/>
          <w:color w:val="002060"/>
        </w:rPr>
        <w:t xml:space="preserve">; </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lastRenderedPageBreak/>
        <w:t xml:space="preserve">- produire </w:t>
      </w:r>
      <w:r w:rsidRPr="00661B2B">
        <w:rPr>
          <w:rFonts w:cs="Calibri"/>
          <w:b/>
          <w:color w:val="002060"/>
        </w:rPr>
        <w:t>obligatoirement</w:t>
      </w:r>
      <w:r w:rsidRPr="00661B2B">
        <w:rPr>
          <w:rFonts w:cs="Calibri"/>
          <w:color w:val="002060"/>
        </w:rPr>
        <w:t xml:space="preserve"> les éléments d’</w:t>
      </w:r>
      <w:r w:rsidRPr="00661B2B">
        <w:rPr>
          <w:rFonts w:cs="Calibri"/>
          <w:b/>
          <w:color w:val="002060"/>
        </w:rPr>
        <w:t>évaluation</w:t>
      </w:r>
      <w:r w:rsidRPr="00661B2B">
        <w:rPr>
          <w:rFonts w:cs="Calibri"/>
          <w:color w:val="002060"/>
        </w:rPr>
        <w:t xml:space="preserve"> demandés ainsi que les </w:t>
      </w:r>
      <w:r w:rsidRPr="00661B2B">
        <w:rPr>
          <w:rFonts w:cs="Calibri"/>
          <w:b/>
          <w:color w:val="002060"/>
        </w:rPr>
        <w:t>pièces justificatives et comptables afférents aux actions réalisées (bilan financier)</w:t>
      </w:r>
      <w:r w:rsidRPr="00661B2B">
        <w:rPr>
          <w:rFonts w:cs="Calibri"/>
          <w:color w:val="002060"/>
        </w:rPr>
        <w:t xml:space="preserve"> sous peine d’inéligibilité lors du prochain appel à projets de l’Assurance Maladie. Par ailleurs, l’évaluation de l’action est </w:t>
      </w:r>
      <w:r w:rsidRPr="00661B2B">
        <w:rPr>
          <w:rFonts w:cs="Calibri"/>
          <w:b/>
          <w:color w:val="002060"/>
        </w:rPr>
        <w:t>à produire obligatoirement pour toute demande de reconduction ou extension de projet, sous peine de refus ;</w:t>
      </w:r>
    </w:p>
    <w:p w:rsidR="00E936C8" w:rsidRPr="00661B2B"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661B2B">
        <w:rPr>
          <w:rFonts w:cs="Calibri"/>
          <w:color w:val="002060"/>
        </w:rPr>
        <w:t xml:space="preserve">- </w:t>
      </w:r>
      <w:r w:rsidRPr="00661B2B">
        <w:rPr>
          <w:rFonts w:cs="Calibri"/>
          <w:b/>
          <w:color w:val="002060"/>
        </w:rPr>
        <w:t>restituer les crédits non utilisés</w:t>
      </w:r>
      <w:r w:rsidRPr="00661B2B">
        <w:rPr>
          <w:rFonts w:cs="Calibri"/>
          <w:color w:val="002060"/>
        </w:rPr>
        <w:t xml:space="preserve"> sous peine de poursuite et d’inéligibilité du promoteur concerné lors du prochain appel à projets de l’Assurance Maladie.</w:t>
      </w:r>
    </w:p>
    <w:p w:rsidR="002355FC" w:rsidRDefault="002355FC" w:rsidP="00E92F2D">
      <w:pPr>
        <w:jc w:val="both"/>
        <w:rPr>
          <w:rFonts w:cs="Calibri"/>
          <w:b/>
          <w:color w:val="1F497D" w:themeColor="text2"/>
          <w:u w:val="single"/>
        </w:rPr>
      </w:pPr>
    </w:p>
    <w:p w:rsidR="00E92F2D" w:rsidRPr="00F824EE" w:rsidRDefault="00E92F2D" w:rsidP="00E92F2D">
      <w:pPr>
        <w:jc w:val="both"/>
        <w:rPr>
          <w:rFonts w:cs="Calibri"/>
          <w:b/>
          <w:color w:val="1F497D" w:themeColor="text2"/>
          <w:u w:val="single"/>
        </w:rPr>
      </w:pPr>
      <w:r w:rsidRPr="00F824EE">
        <w:rPr>
          <w:rFonts w:cs="Calibri"/>
          <w:b/>
          <w:color w:val="1F497D" w:themeColor="text2"/>
          <w:u w:val="single"/>
        </w:rPr>
        <w:t xml:space="preserve">Contact, adresse de la Caisse (CPAM/CGSS) et date butoir à compléter par la Caisse </w:t>
      </w:r>
    </w:p>
    <w:p w:rsidR="002B1E1D" w:rsidRPr="00E936C8" w:rsidRDefault="002B1E1D" w:rsidP="002355FC">
      <w:pPr>
        <w:spacing w:after="0" w:line="240" w:lineRule="auto"/>
        <w:rPr>
          <w:rFonts w:cs="Calibri"/>
          <w:color w:val="000000"/>
          <w:sz w:val="24"/>
          <w:szCs w:val="24"/>
          <w:lang w:eastAsia="fr-FR"/>
        </w:rPr>
      </w:pPr>
    </w:p>
    <w:sectPr w:rsidR="002B1E1D" w:rsidRPr="00E936C8" w:rsidSect="00B66856">
      <w:footerReference w:type="default" r:id="rId13"/>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E9" w:rsidRDefault="003358E9" w:rsidP="00BC58DB">
      <w:pPr>
        <w:spacing w:after="0" w:line="240" w:lineRule="auto"/>
      </w:pPr>
      <w:r>
        <w:separator/>
      </w:r>
    </w:p>
  </w:endnote>
  <w:endnote w:type="continuationSeparator" w:id="0">
    <w:p w:rsidR="003358E9" w:rsidRDefault="003358E9"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E9" w:rsidRDefault="003358E9"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D9269C">
          <w:rPr>
            <w:noProof/>
            <w:sz w:val="16"/>
            <w:szCs w:val="16"/>
          </w:rPr>
          <w:t>10</w:t>
        </w:r>
        <w:r w:rsidRPr="001D7075">
          <w:rPr>
            <w:sz w:val="16"/>
            <w:szCs w:val="16"/>
          </w:rPr>
          <w:fldChar w:fldCharType="end"/>
        </w:r>
      </w:sdtContent>
    </w:sdt>
    <w:r w:rsidRPr="001D7075">
      <w:rPr>
        <w:sz w:val="16"/>
        <w:szCs w:val="16"/>
      </w:rPr>
      <w:tab/>
    </w:r>
    <w:r w:rsidRPr="001D7075">
      <w:rPr>
        <w:sz w:val="16"/>
        <w:szCs w:val="16"/>
      </w:rPr>
      <w:tab/>
    </w:r>
    <w:r>
      <w:rPr>
        <w:sz w:val="16"/>
        <w:szCs w:val="16"/>
      </w:rPr>
      <w:t>V</w:t>
    </w:r>
    <w:r w:rsidR="00C71260">
      <w:rPr>
        <w:sz w:val="16"/>
        <w:szCs w:val="16"/>
      </w:rPr>
      <w:t>6 du 1</w:t>
    </w:r>
    <w:r w:rsidR="008309FC">
      <w:rPr>
        <w:sz w:val="16"/>
        <w:szCs w:val="16"/>
      </w:rPr>
      <w:t>5</w:t>
    </w:r>
    <w:r w:rsidR="00C71260">
      <w:rPr>
        <w:sz w:val="16"/>
        <w:szCs w:val="16"/>
      </w:rPr>
      <w:t>/3/2022</w:t>
    </w:r>
  </w:p>
  <w:p w:rsidR="00C71260" w:rsidRPr="001D7075" w:rsidRDefault="00C71260" w:rsidP="001D7075">
    <w:pPr>
      <w:pStyle w:val="Pieddepage"/>
      <w:tabs>
        <w:tab w:val="left" w:pos="567"/>
        <w:tab w:val="left" w:pos="7655"/>
      </w:tabs>
      <w:rPr>
        <w:sz w:val="16"/>
        <w:szCs w:val="16"/>
      </w:rPr>
    </w:pPr>
  </w:p>
  <w:p w:rsidR="003358E9" w:rsidRDefault="003358E9"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E9" w:rsidRDefault="003358E9" w:rsidP="00BC58DB">
      <w:pPr>
        <w:spacing w:after="0" w:line="240" w:lineRule="auto"/>
      </w:pPr>
      <w:r>
        <w:separator/>
      </w:r>
    </w:p>
  </w:footnote>
  <w:footnote w:type="continuationSeparator" w:id="0">
    <w:p w:rsidR="003358E9" w:rsidRDefault="003358E9" w:rsidP="00BC58DB">
      <w:pPr>
        <w:spacing w:after="0" w:line="240" w:lineRule="auto"/>
      </w:pPr>
      <w:r>
        <w:continuationSeparator/>
      </w:r>
    </w:p>
  </w:footnote>
  <w:footnote w:id="1">
    <w:p w:rsidR="003358E9" w:rsidRPr="00823D1B" w:rsidRDefault="003358E9"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w:t>
      </w:r>
      <w:proofErr w:type="spellStart"/>
      <w:r w:rsidRPr="00823D1B">
        <w:rPr>
          <w:sz w:val="18"/>
          <w:szCs w:val="18"/>
          <w:lang w:val="en-US"/>
        </w:rPr>
        <w:t>Disponible</w:t>
      </w:r>
      <w:proofErr w:type="spellEnd"/>
      <w:r w:rsidRPr="00823D1B">
        <w:rPr>
          <w:sz w:val="18"/>
          <w:szCs w:val="18"/>
          <w:lang w:val="en-US"/>
        </w:rPr>
        <w:t xml:space="preserve"> sur </w:t>
      </w:r>
      <w:hyperlink r:id="rId1" w:history="1">
        <w:r w:rsidRPr="00823D1B">
          <w:rPr>
            <w:rStyle w:val="Lienhypertexte"/>
            <w:sz w:val="18"/>
            <w:szCs w:val="18"/>
            <w:lang w:val="en-US"/>
          </w:rPr>
          <w:t>www.hcsp.fr</w:t>
        </w:r>
      </w:hyperlink>
      <w:r w:rsidRPr="00823D1B">
        <w:rPr>
          <w:sz w:val="18"/>
          <w:szCs w:val="18"/>
          <w:lang w:val="en-US"/>
        </w:rPr>
        <w:t xml:space="preserve"> </w:t>
      </w:r>
    </w:p>
  </w:footnote>
  <w:footnote w:id="2">
    <w:p w:rsidR="003358E9" w:rsidRPr="008D4852" w:rsidRDefault="003358E9"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w:t>
      </w:r>
      <w:proofErr w:type="spellStart"/>
      <w:r w:rsidRPr="00823D1B">
        <w:rPr>
          <w:sz w:val="18"/>
          <w:szCs w:val="18"/>
          <w:lang w:val="en-US"/>
        </w:rPr>
        <w:t>Haberland</w:t>
      </w:r>
      <w:proofErr w:type="spellEnd"/>
      <w:r w:rsidRPr="00823D1B">
        <w:rPr>
          <w:sz w:val="18"/>
          <w:szCs w:val="18"/>
          <w:lang w:val="en-US"/>
        </w:rPr>
        <w:t xml:space="preserve"> NA. The case for addressing gender and power in sexuality and HIV education: a comprehensive review of evaluation studies. </w:t>
      </w:r>
      <w:r w:rsidRPr="008D4852">
        <w:rPr>
          <w:sz w:val="18"/>
          <w:szCs w:val="18"/>
        </w:rPr>
        <w:t xml:space="preserve">Int </w:t>
      </w:r>
      <w:proofErr w:type="spellStart"/>
      <w:r w:rsidRPr="008D4852">
        <w:rPr>
          <w:sz w:val="18"/>
          <w:szCs w:val="18"/>
        </w:rPr>
        <w:t>Perspect</w:t>
      </w:r>
      <w:proofErr w:type="spellEnd"/>
      <w:r w:rsidRPr="008D4852">
        <w:rPr>
          <w:sz w:val="18"/>
          <w:szCs w:val="18"/>
        </w:rPr>
        <w:t xml:space="preserve"> </w:t>
      </w:r>
      <w:proofErr w:type="spellStart"/>
      <w:r w:rsidRPr="008D4852">
        <w:rPr>
          <w:sz w:val="18"/>
          <w:szCs w:val="18"/>
        </w:rPr>
        <w:t>Sex</w:t>
      </w:r>
      <w:proofErr w:type="spellEnd"/>
      <w:r w:rsidRPr="008D4852">
        <w:rPr>
          <w:sz w:val="18"/>
          <w:szCs w:val="18"/>
        </w:rPr>
        <w:t xml:space="preserve"> </w:t>
      </w:r>
      <w:proofErr w:type="spellStart"/>
      <w:r w:rsidRPr="008D4852">
        <w:rPr>
          <w:sz w:val="18"/>
          <w:szCs w:val="18"/>
        </w:rPr>
        <w:t>Reprod</w:t>
      </w:r>
      <w:proofErr w:type="spellEnd"/>
      <w:r w:rsidRPr="008D4852">
        <w:rPr>
          <w:sz w:val="18"/>
          <w:szCs w:val="18"/>
        </w:rPr>
        <w:t xml:space="preserve"> </w:t>
      </w:r>
      <w:proofErr w:type="spellStart"/>
      <w:r w:rsidRPr="008D4852">
        <w:rPr>
          <w:sz w:val="18"/>
          <w:szCs w:val="18"/>
        </w:rPr>
        <w:t>Health</w:t>
      </w:r>
      <w:proofErr w:type="spellEnd"/>
      <w:r w:rsidRPr="008D4852">
        <w:rPr>
          <w:sz w:val="18"/>
          <w:szCs w:val="18"/>
        </w:rPr>
        <w:t>. 2015 Mar;41(1):31-42</w:t>
      </w:r>
    </w:p>
  </w:footnote>
  <w:footnote w:id="3">
    <w:p w:rsidR="003358E9" w:rsidRDefault="003358E9"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2" w:history="1">
        <w:r w:rsidRPr="00E3785C">
          <w:rPr>
            <w:rStyle w:val="Lienhypertexte"/>
            <w:rFonts w:asciiTheme="minorHAnsi" w:hAnsiTheme="minorHAnsi"/>
            <w:sz w:val="18"/>
            <w:szCs w:val="18"/>
          </w:rPr>
          <w:t>www.injep.fr</w:t>
        </w:r>
      </w:hyperlink>
    </w:p>
  </w:footnote>
  <w:footnote w:id="4">
    <w:p w:rsidR="003358E9" w:rsidRPr="004642A8" w:rsidRDefault="003358E9" w:rsidP="004642A8">
      <w:pPr>
        <w:pStyle w:val="Notedebasdepage"/>
        <w:spacing w:after="0"/>
        <w:jc w:val="both"/>
        <w:rPr>
          <w:sz w:val="18"/>
          <w:szCs w:val="18"/>
        </w:rPr>
      </w:pPr>
      <w:r w:rsidRPr="004642A8">
        <w:rPr>
          <w:rStyle w:val="Appelnotedebasdep"/>
          <w:sz w:val="18"/>
          <w:szCs w:val="18"/>
        </w:rPr>
        <w:footnoteRef/>
      </w:r>
      <w:r w:rsidRPr="004642A8">
        <w:rPr>
          <w:sz w:val="18"/>
          <w:szCs w:val="18"/>
        </w:rPr>
        <w:t xml:space="preserve"> Réévaluation de la stratégie de dépistage des infections à Chlamydia </w:t>
      </w:r>
      <w:proofErr w:type="spellStart"/>
      <w:r w:rsidRPr="004642A8">
        <w:rPr>
          <w:sz w:val="18"/>
          <w:szCs w:val="18"/>
        </w:rPr>
        <w:t>trachomatis</w:t>
      </w:r>
      <w:proofErr w:type="spellEnd"/>
      <w:r w:rsidRPr="004642A8">
        <w:rPr>
          <w:sz w:val="18"/>
          <w:szCs w:val="18"/>
        </w:rPr>
        <w:t xml:space="preserve">. Recommandation en santé publique. HAS. Septembre 2018. Disponible sur </w:t>
      </w:r>
      <w:hyperlink r:id="rId3" w:history="1">
        <w:r w:rsidRPr="004642A8">
          <w:rPr>
            <w:rStyle w:val="Lienhypertexte"/>
            <w:sz w:val="18"/>
            <w:szCs w:val="18"/>
          </w:rPr>
          <w:t>www.has-sante.fr</w:t>
        </w:r>
      </w:hyperlink>
      <w:r w:rsidRPr="004642A8">
        <w:rPr>
          <w:sz w:val="18"/>
          <w:szCs w:val="18"/>
        </w:rPr>
        <w:t xml:space="preserve"> </w:t>
      </w:r>
    </w:p>
  </w:footnote>
  <w:footnote w:id="5">
    <w:p w:rsidR="003358E9" w:rsidRPr="004642A8" w:rsidRDefault="003358E9" w:rsidP="004642A8">
      <w:pPr>
        <w:pStyle w:val="Notedebasdepage"/>
        <w:spacing w:after="0"/>
        <w:rPr>
          <w:sz w:val="18"/>
          <w:szCs w:val="18"/>
        </w:rPr>
      </w:pPr>
      <w:r w:rsidRPr="004642A8">
        <w:rPr>
          <w:rStyle w:val="Appelnotedebasdep"/>
          <w:sz w:val="18"/>
          <w:szCs w:val="18"/>
        </w:rPr>
        <w:footnoteRef/>
      </w:r>
      <w:r w:rsidRPr="004642A8">
        <w:rPr>
          <w:sz w:val="18"/>
          <w:szCs w:val="18"/>
        </w:rPr>
        <w:t xml:space="preserve"> Stratégie nationale de santé sexuelle. Agenda 2017-2030. Ministère des Affaires Sociales et de la Santé.</w:t>
      </w:r>
    </w:p>
  </w:footnote>
  <w:footnote w:id="6">
    <w:p w:rsidR="003358E9" w:rsidRPr="002629D9" w:rsidRDefault="003358E9"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Les jeunes, l’information et la prévention du SIDA. IFOP. 1</w:t>
      </w:r>
      <w:r w:rsidRPr="002629D9">
        <w:rPr>
          <w:rFonts w:asciiTheme="minorHAnsi" w:hAnsiTheme="minorHAnsi"/>
          <w:sz w:val="18"/>
          <w:szCs w:val="18"/>
          <w:vertAlign w:val="superscript"/>
        </w:rPr>
        <w:t>er</w:t>
      </w:r>
      <w:r w:rsidRPr="002629D9">
        <w:rPr>
          <w:rFonts w:asciiTheme="minorHAnsi" w:hAnsiTheme="minorHAnsi"/>
          <w:sz w:val="18"/>
          <w:szCs w:val="18"/>
        </w:rPr>
        <w:t xml:space="preserve"> avril 2019. Disponible sur </w:t>
      </w:r>
      <w:hyperlink r:id="rId4" w:history="1">
        <w:r w:rsidRPr="002629D9">
          <w:rPr>
            <w:rStyle w:val="Lienhypertexte"/>
            <w:rFonts w:asciiTheme="minorHAnsi" w:hAnsiTheme="minorHAnsi"/>
            <w:sz w:val="18"/>
            <w:szCs w:val="18"/>
          </w:rPr>
          <w:t>www.ifop.com</w:t>
        </w:r>
      </w:hyperlink>
      <w:r w:rsidRPr="002629D9">
        <w:rPr>
          <w:rFonts w:asciiTheme="minorHAnsi" w:hAnsiTheme="minorHAnsi"/>
          <w:sz w:val="18"/>
          <w:szCs w:val="18"/>
        </w:rPr>
        <w:t xml:space="preserve"> </w:t>
      </w:r>
    </w:p>
  </w:footnote>
  <w:footnote w:id="7">
    <w:p w:rsidR="003358E9" w:rsidRPr="002629D9" w:rsidRDefault="003358E9"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 xml:space="preserve">Enquête Santé Etudiants et Lycéens. Sondage </w:t>
      </w:r>
      <w:proofErr w:type="spellStart"/>
      <w:r w:rsidRPr="002629D9">
        <w:rPr>
          <w:rFonts w:asciiTheme="minorHAnsi" w:hAnsiTheme="minorHAnsi"/>
          <w:sz w:val="18"/>
          <w:szCs w:val="18"/>
        </w:rPr>
        <w:t>Opinionway</w:t>
      </w:r>
      <w:proofErr w:type="spellEnd"/>
      <w:r w:rsidRPr="002629D9">
        <w:rPr>
          <w:rFonts w:asciiTheme="minorHAnsi" w:hAnsiTheme="minorHAnsi"/>
          <w:sz w:val="18"/>
          <w:szCs w:val="18"/>
        </w:rPr>
        <w:t xml:space="preserve"> pour </w:t>
      </w:r>
      <w:proofErr w:type="spellStart"/>
      <w:r w:rsidRPr="002629D9">
        <w:rPr>
          <w:rFonts w:asciiTheme="minorHAnsi" w:hAnsiTheme="minorHAnsi"/>
          <w:sz w:val="18"/>
          <w:szCs w:val="18"/>
        </w:rPr>
        <w:t>Heyme</w:t>
      </w:r>
      <w:proofErr w:type="spellEnd"/>
      <w:r w:rsidRPr="002629D9">
        <w:rPr>
          <w:rFonts w:asciiTheme="minorHAnsi" w:hAnsiTheme="minorHAnsi"/>
          <w:sz w:val="18"/>
          <w:szCs w:val="18"/>
        </w:rPr>
        <w:t xml:space="preserve"> Santé Jeunes. Juillet 2019</w:t>
      </w:r>
    </w:p>
  </w:footnote>
  <w:footnote w:id="8">
    <w:p w:rsidR="003358E9" w:rsidRPr="00081110" w:rsidRDefault="003358E9" w:rsidP="00081110">
      <w:pPr>
        <w:pStyle w:val="Notedebasdepage"/>
        <w:spacing w:after="0"/>
        <w:jc w:val="both"/>
        <w:rPr>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5" w:history="1">
        <w:r w:rsidRPr="00BF0D2E">
          <w:rPr>
            <w:rStyle w:val="Lienhypertexte"/>
            <w:rFonts w:cs="Calibri"/>
            <w:sz w:val="18"/>
            <w:szCs w:val="18"/>
          </w:rPr>
          <w:t>www.legifrance.fr</w:t>
        </w:r>
      </w:hyperlink>
      <w:r>
        <w:rPr>
          <w:rFonts w:cs="Calibr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BF2670A"/>
    <w:multiLevelType w:val="hybridMultilevel"/>
    <w:tmpl w:val="A1A26CAE"/>
    <w:lvl w:ilvl="0" w:tplc="180031C8">
      <w:numFmt w:val="bullet"/>
      <w:lvlText w:val="-"/>
      <w:lvlJc w:val="left"/>
      <w:pPr>
        <w:tabs>
          <w:tab w:val="num" w:pos="720"/>
        </w:tabs>
        <w:ind w:left="720" w:hanging="360"/>
      </w:pPr>
      <w:rPr>
        <w:rFont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906E7F"/>
    <w:multiLevelType w:val="hybridMultilevel"/>
    <w:tmpl w:val="9FFADC96"/>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9">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4DF35ED"/>
    <w:multiLevelType w:val="hybridMultilevel"/>
    <w:tmpl w:val="8A461B26"/>
    <w:lvl w:ilvl="0" w:tplc="D012D4E2">
      <w:start w:val="1"/>
      <w:numFmt w:val="bullet"/>
      <w:lvlText w:val="→"/>
      <w:lvlJc w:val="left"/>
      <w:pPr>
        <w:ind w:left="36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65F3786"/>
    <w:multiLevelType w:val="hybridMultilevel"/>
    <w:tmpl w:val="966E61EA"/>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1030FB1"/>
    <w:multiLevelType w:val="hybridMultilevel"/>
    <w:tmpl w:val="C7EC627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35">
    <w:nsid w:val="34BB1FD4"/>
    <w:multiLevelType w:val="hybridMultilevel"/>
    <w:tmpl w:val="6BFE5320"/>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6">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65519CB"/>
    <w:multiLevelType w:val="hybridMultilevel"/>
    <w:tmpl w:val="7940F40C"/>
    <w:lvl w:ilvl="0" w:tplc="7FEAC3FA">
      <w:start w:val="1"/>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3">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EDF3F2A"/>
    <w:multiLevelType w:val="hybridMultilevel"/>
    <w:tmpl w:val="94F630C4"/>
    <w:lvl w:ilvl="0" w:tplc="00F29C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EF343C3"/>
    <w:multiLevelType w:val="hybridMultilevel"/>
    <w:tmpl w:val="B0A42BF4"/>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25160A0"/>
    <w:multiLevelType w:val="hybridMultilevel"/>
    <w:tmpl w:val="A1083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2">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EE86C5A"/>
    <w:multiLevelType w:val="hybridMultilevel"/>
    <w:tmpl w:val="C66229C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10A351D"/>
    <w:multiLevelType w:val="hybridMultilevel"/>
    <w:tmpl w:val="B2CCD2BA"/>
    <w:lvl w:ilvl="0" w:tplc="138C53EA">
      <w:start w:val="4"/>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nsid w:val="53287247"/>
    <w:multiLevelType w:val="hybridMultilevel"/>
    <w:tmpl w:val="3294B5BE"/>
    <w:lvl w:ilvl="0" w:tplc="ED1A7D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3A40C0F"/>
    <w:multiLevelType w:val="hybridMultilevel"/>
    <w:tmpl w:val="EB20CB36"/>
    <w:lvl w:ilvl="0" w:tplc="8E4EF00C">
      <w:start w:val="1"/>
      <w:numFmt w:val="bullet"/>
      <w:lvlText w:val=""/>
      <w:lvlJc w:val="left"/>
      <w:pPr>
        <w:ind w:left="360" w:hanging="360"/>
      </w:pPr>
      <w:rPr>
        <w:rFonts w:ascii="Wingdings" w:hAnsi="Wingdings"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0">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2">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7D00904"/>
    <w:multiLevelType w:val="hybridMultilevel"/>
    <w:tmpl w:val="B83C6CFC"/>
    <w:lvl w:ilvl="0" w:tplc="043A7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6">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64FE3C93"/>
    <w:multiLevelType w:val="hybridMultilevel"/>
    <w:tmpl w:val="F3D4A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2">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5">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7">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8">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0">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6E92AAF"/>
    <w:multiLevelType w:val="hybridMultilevel"/>
    <w:tmpl w:val="4DBC897A"/>
    <w:lvl w:ilvl="0" w:tplc="B86A68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8605EDD"/>
    <w:multiLevelType w:val="hybridMultilevel"/>
    <w:tmpl w:val="C6B6A980"/>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83">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44"/>
  </w:num>
  <w:num w:numId="4">
    <w:abstractNumId w:val="54"/>
  </w:num>
  <w:num w:numId="5">
    <w:abstractNumId w:val="42"/>
  </w:num>
  <w:num w:numId="6">
    <w:abstractNumId w:val="51"/>
  </w:num>
  <w:num w:numId="7">
    <w:abstractNumId w:val="34"/>
  </w:num>
  <w:num w:numId="8">
    <w:abstractNumId w:val="75"/>
  </w:num>
  <w:num w:numId="9">
    <w:abstractNumId w:val="31"/>
  </w:num>
  <w:num w:numId="10">
    <w:abstractNumId w:val="24"/>
  </w:num>
  <w:num w:numId="11">
    <w:abstractNumId w:val="71"/>
  </w:num>
  <w:num w:numId="12">
    <w:abstractNumId w:val="84"/>
  </w:num>
  <w:num w:numId="13">
    <w:abstractNumId w:val="38"/>
  </w:num>
  <w:num w:numId="14">
    <w:abstractNumId w:val="85"/>
  </w:num>
  <w:num w:numId="15">
    <w:abstractNumId w:val="10"/>
  </w:num>
  <w:num w:numId="16">
    <w:abstractNumId w:val="73"/>
  </w:num>
  <w:num w:numId="17">
    <w:abstractNumId w:val="21"/>
  </w:num>
  <w:num w:numId="18">
    <w:abstractNumId w:val="28"/>
  </w:num>
  <w:num w:numId="19">
    <w:abstractNumId w:val="13"/>
  </w:num>
  <w:num w:numId="20">
    <w:abstractNumId w:val="4"/>
  </w:num>
  <w:num w:numId="21">
    <w:abstractNumId w:val="12"/>
  </w:num>
  <w:num w:numId="22">
    <w:abstractNumId w:val="68"/>
  </w:num>
  <w:num w:numId="23">
    <w:abstractNumId w:val="6"/>
  </w:num>
  <w:num w:numId="24">
    <w:abstractNumId w:val="66"/>
  </w:num>
  <w:num w:numId="25">
    <w:abstractNumId w:val="43"/>
  </w:num>
  <w:num w:numId="26">
    <w:abstractNumId w:val="3"/>
  </w:num>
  <w:num w:numId="27">
    <w:abstractNumId w:val="83"/>
  </w:num>
  <w:num w:numId="28">
    <w:abstractNumId w:val="67"/>
  </w:num>
  <w:num w:numId="29">
    <w:abstractNumId w:val="20"/>
  </w:num>
  <w:num w:numId="30">
    <w:abstractNumId w:val="16"/>
  </w:num>
  <w:num w:numId="31">
    <w:abstractNumId w:val="56"/>
  </w:num>
  <w:num w:numId="32">
    <w:abstractNumId w:val="39"/>
  </w:num>
  <w:num w:numId="33">
    <w:abstractNumId w:val="8"/>
  </w:num>
  <w:num w:numId="34">
    <w:abstractNumId w:val="52"/>
  </w:num>
  <w:num w:numId="35">
    <w:abstractNumId w:val="36"/>
  </w:num>
  <w:num w:numId="36">
    <w:abstractNumId w:val="19"/>
  </w:num>
  <w:num w:numId="37">
    <w:abstractNumId w:val="65"/>
  </w:num>
  <w:num w:numId="38">
    <w:abstractNumId w:val="30"/>
  </w:num>
  <w:num w:numId="39">
    <w:abstractNumId w:val="2"/>
  </w:num>
  <w:num w:numId="40">
    <w:abstractNumId w:val="80"/>
  </w:num>
  <w:num w:numId="41">
    <w:abstractNumId w:val="17"/>
  </w:num>
  <w:num w:numId="42">
    <w:abstractNumId w:val="62"/>
  </w:num>
  <w:num w:numId="43">
    <w:abstractNumId w:val="25"/>
  </w:num>
  <w:num w:numId="44">
    <w:abstractNumId w:val="41"/>
  </w:num>
  <w:num w:numId="45">
    <w:abstractNumId w:val="72"/>
  </w:num>
  <w:num w:numId="46">
    <w:abstractNumId w:val="60"/>
  </w:num>
  <w:num w:numId="47">
    <w:abstractNumId w:val="64"/>
  </w:num>
  <w:num w:numId="48">
    <w:abstractNumId w:val="14"/>
  </w:num>
  <w:num w:numId="49">
    <w:abstractNumId w:val="11"/>
  </w:num>
  <w:num w:numId="50">
    <w:abstractNumId w:val="5"/>
  </w:num>
  <w:num w:numId="51">
    <w:abstractNumId w:val="49"/>
  </w:num>
  <w:num w:numId="52">
    <w:abstractNumId w:val="76"/>
  </w:num>
  <w:num w:numId="53">
    <w:abstractNumId w:val="15"/>
  </w:num>
  <w:num w:numId="54">
    <w:abstractNumId w:val="27"/>
  </w:num>
  <w:num w:numId="55">
    <w:abstractNumId w:val="79"/>
  </w:num>
  <w:num w:numId="56">
    <w:abstractNumId w:val="22"/>
  </w:num>
  <w:num w:numId="57">
    <w:abstractNumId w:val="45"/>
  </w:num>
  <w:num w:numId="58">
    <w:abstractNumId w:val="78"/>
  </w:num>
  <w:num w:numId="59">
    <w:abstractNumId w:val="59"/>
  </w:num>
  <w:num w:numId="60">
    <w:abstractNumId w:val="32"/>
  </w:num>
  <w:num w:numId="61">
    <w:abstractNumId w:val="81"/>
  </w:num>
  <w:num w:numId="62">
    <w:abstractNumId w:val="63"/>
  </w:num>
  <w:num w:numId="63">
    <w:abstractNumId w:val="46"/>
  </w:num>
  <w:num w:numId="64">
    <w:abstractNumId w:val="74"/>
  </w:num>
  <w:num w:numId="65">
    <w:abstractNumId w:val="7"/>
  </w:num>
  <w:num w:numId="66">
    <w:abstractNumId w:val="53"/>
  </w:num>
  <w:num w:numId="67">
    <w:abstractNumId w:val="1"/>
  </w:num>
  <w:num w:numId="68">
    <w:abstractNumId w:val="70"/>
  </w:num>
  <w:num w:numId="69">
    <w:abstractNumId w:val="82"/>
  </w:num>
  <w:num w:numId="70">
    <w:abstractNumId w:val="37"/>
  </w:num>
  <w:num w:numId="71">
    <w:abstractNumId w:val="47"/>
  </w:num>
  <w:num w:numId="72">
    <w:abstractNumId w:val="9"/>
  </w:num>
  <w:num w:numId="73">
    <w:abstractNumId w:val="0"/>
  </w:num>
  <w:num w:numId="74">
    <w:abstractNumId w:val="61"/>
  </w:num>
  <w:num w:numId="75">
    <w:abstractNumId w:val="35"/>
  </w:num>
  <w:num w:numId="76">
    <w:abstractNumId w:val="77"/>
  </w:num>
  <w:num w:numId="77">
    <w:abstractNumId w:val="23"/>
  </w:num>
  <w:num w:numId="78">
    <w:abstractNumId w:val="29"/>
  </w:num>
  <w:num w:numId="79">
    <w:abstractNumId w:val="69"/>
  </w:num>
  <w:num w:numId="80">
    <w:abstractNumId w:val="33"/>
  </w:num>
  <w:num w:numId="81">
    <w:abstractNumId w:val="50"/>
  </w:num>
  <w:num w:numId="82">
    <w:abstractNumId w:val="86"/>
  </w:num>
  <w:num w:numId="83">
    <w:abstractNumId w:val="55"/>
  </w:num>
  <w:num w:numId="84">
    <w:abstractNumId w:val="58"/>
  </w:num>
  <w:num w:numId="85">
    <w:abstractNumId w:val="26"/>
  </w:num>
  <w:num w:numId="86">
    <w:abstractNumId w:val="57"/>
  </w:num>
  <w:num w:numId="87">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140A"/>
    <w:rsid w:val="0000188D"/>
    <w:rsid w:val="000035F6"/>
    <w:rsid w:val="00004EEB"/>
    <w:rsid w:val="00005391"/>
    <w:rsid w:val="000071F2"/>
    <w:rsid w:val="000118BD"/>
    <w:rsid w:val="00013A92"/>
    <w:rsid w:val="00014866"/>
    <w:rsid w:val="000150E2"/>
    <w:rsid w:val="00016F8E"/>
    <w:rsid w:val="00020010"/>
    <w:rsid w:val="00020E38"/>
    <w:rsid w:val="00021941"/>
    <w:rsid w:val="00022AB4"/>
    <w:rsid w:val="000242E5"/>
    <w:rsid w:val="000358EF"/>
    <w:rsid w:val="000361A8"/>
    <w:rsid w:val="000363B3"/>
    <w:rsid w:val="00040811"/>
    <w:rsid w:val="000420E4"/>
    <w:rsid w:val="00042CC0"/>
    <w:rsid w:val="0004359F"/>
    <w:rsid w:val="0004397B"/>
    <w:rsid w:val="00045811"/>
    <w:rsid w:val="00045BF8"/>
    <w:rsid w:val="000510E1"/>
    <w:rsid w:val="00053267"/>
    <w:rsid w:val="0005475F"/>
    <w:rsid w:val="0005476F"/>
    <w:rsid w:val="00057EFA"/>
    <w:rsid w:val="00062D2B"/>
    <w:rsid w:val="0006314F"/>
    <w:rsid w:val="000635ED"/>
    <w:rsid w:val="0006580B"/>
    <w:rsid w:val="0006653F"/>
    <w:rsid w:val="00066CCF"/>
    <w:rsid w:val="000679AA"/>
    <w:rsid w:val="00073AA2"/>
    <w:rsid w:val="0007444E"/>
    <w:rsid w:val="00075E90"/>
    <w:rsid w:val="000773D0"/>
    <w:rsid w:val="00077ABF"/>
    <w:rsid w:val="00077B80"/>
    <w:rsid w:val="00080CCE"/>
    <w:rsid w:val="0008107A"/>
    <w:rsid w:val="00081110"/>
    <w:rsid w:val="000814E0"/>
    <w:rsid w:val="0008252F"/>
    <w:rsid w:val="00082931"/>
    <w:rsid w:val="00082FD1"/>
    <w:rsid w:val="00084094"/>
    <w:rsid w:val="0008440C"/>
    <w:rsid w:val="00084A7F"/>
    <w:rsid w:val="00086B9A"/>
    <w:rsid w:val="00094BBA"/>
    <w:rsid w:val="000A02E4"/>
    <w:rsid w:val="000A0A19"/>
    <w:rsid w:val="000A0C00"/>
    <w:rsid w:val="000A2AE3"/>
    <w:rsid w:val="000B0277"/>
    <w:rsid w:val="000B6544"/>
    <w:rsid w:val="000B7112"/>
    <w:rsid w:val="000B7CB3"/>
    <w:rsid w:val="000C20EA"/>
    <w:rsid w:val="000C2474"/>
    <w:rsid w:val="000C48AB"/>
    <w:rsid w:val="000C4AC1"/>
    <w:rsid w:val="000C55C8"/>
    <w:rsid w:val="000C5BE2"/>
    <w:rsid w:val="000C69B1"/>
    <w:rsid w:val="000D5D3A"/>
    <w:rsid w:val="000D77FF"/>
    <w:rsid w:val="000E0F09"/>
    <w:rsid w:val="000E1874"/>
    <w:rsid w:val="000E29D2"/>
    <w:rsid w:val="000E609E"/>
    <w:rsid w:val="000E7768"/>
    <w:rsid w:val="000E7D70"/>
    <w:rsid w:val="000F27E2"/>
    <w:rsid w:val="000F50C8"/>
    <w:rsid w:val="000F6219"/>
    <w:rsid w:val="000F7DB3"/>
    <w:rsid w:val="00100708"/>
    <w:rsid w:val="00101685"/>
    <w:rsid w:val="0010398C"/>
    <w:rsid w:val="00103A43"/>
    <w:rsid w:val="00106C0A"/>
    <w:rsid w:val="00107173"/>
    <w:rsid w:val="0011196E"/>
    <w:rsid w:val="001204F0"/>
    <w:rsid w:val="00122CFE"/>
    <w:rsid w:val="001231BB"/>
    <w:rsid w:val="0013256F"/>
    <w:rsid w:val="00135418"/>
    <w:rsid w:val="001363AD"/>
    <w:rsid w:val="0014021B"/>
    <w:rsid w:val="001412A9"/>
    <w:rsid w:val="00144355"/>
    <w:rsid w:val="00145A6F"/>
    <w:rsid w:val="00145BBA"/>
    <w:rsid w:val="00147901"/>
    <w:rsid w:val="00150490"/>
    <w:rsid w:val="001520F8"/>
    <w:rsid w:val="0015609B"/>
    <w:rsid w:val="00160337"/>
    <w:rsid w:val="00167D25"/>
    <w:rsid w:val="001708A6"/>
    <w:rsid w:val="00172E4B"/>
    <w:rsid w:val="001737FD"/>
    <w:rsid w:val="001759E8"/>
    <w:rsid w:val="001778DB"/>
    <w:rsid w:val="00180B4D"/>
    <w:rsid w:val="00184368"/>
    <w:rsid w:val="00185139"/>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3DFB"/>
    <w:rsid w:val="001B4087"/>
    <w:rsid w:val="001B494C"/>
    <w:rsid w:val="001B53E7"/>
    <w:rsid w:val="001B571D"/>
    <w:rsid w:val="001B661E"/>
    <w:rsid w:val="001C0C3D"/>
    <w:rsid w:val="001C2819"/>
    <w:rsid w:val="001C2B72"/>
    <w:rsid w:val="001C354B"/>
    <w:rsid w:val="001C4A60"/>
    <w:rsid w:val="001C7444"/>
    <w:rsid w:val="001D26F2"/>
    <w:rsid w:val="001D2A3E"/>
    <w:rsid w:val="001D4D6C"/>
    <w:rsid w:val="001D7075"/>
    <w:rsid w:val="001E0DC2"/>
    <w:rsid w:val="001E1694"/>
    <w:rsid w:val="001E4CC6"/>
    <w:rsid w:val="001E56BD"/>
    <w:rsid w:val="001E62B0"/>
    <w:rsid w:val="001F4143"/>
    <w:rsid w:val="001F566C"/>
    <w:rsid w:val="001F692F"/>
    <w:rsid w:val="001F74E9"/>
    <w:rsid w:val="001F7A0E"/>
    <w:rsid w:val="001F7A52"/>
    <w:rsid w:val="001F7BB1"/>
    <w:rsid w:val="0020257A"/>
    <w:rsid w:val="00202CE1"/>
    <w:rsid w:val="002055A5"/>
    <w:rsid w:val="00205AC6"/>
    <w:rsid w:val="00205F01"/>
    <w:rsid w:val="00210DC5"/>
    <w:rsid w:val="00213E1E"/>
    <w:rsid w:val="00215CF6"/>
    <w:rsid w:val="00216288"/>
    <w:rsid w:val="00221BAD"/>
    <w:rsid w:val="00221F09"/>
    <w:rsid w:val="00222ACD"/>
    <w:rsid w:val="00222C40"/>
    <w:rsid w:val="0022454D"/>
    <w:rsid w:val="002247B2"/>
    <w:rsid w:val="00225340"/>
    <w:rsid w:val="00225784"/>
    <w:rsid w:val="002262DA"/>
    <w:rsid w:val="00226344"/>
    <w:rsid w:val="00226988"/>
    <w:rsid w:val="00226A42"/>
    <w:rsid w:val="002270D6"/>
    <w:rsid w:val="0023247E"/>
    <w:rsid w:val="00232EFD"/>
    <w:rsid w:val="002355FC"/>
    <w:rsid w:val="00237D11"/>
    <w:rsid w:val="00241D91"/>
    <w:rsid w:val="00242678"/>
    <w:rsid w:val="0024325D"/>
    <w:rsid w:val="00244D3C"/>
    <w:rsid w:val="002459BA"/>
    <w:rsid w:val="002461B0"/>
    <w:rsid w:val="0025088E"/>
    <w:rsid w:val="00250E0B"/>
    <w:rsid w:val="002524C0"/>
    <w:rsid w:val="002538D4"/>
    <w:rsid w:val="00253D8D"/>
    <w:rsid w:val="00255FC2"/>
    <w:rsid w:val="00257CF9"/>
    <w:rsid w:val="00257DC3"/>
    <w:rsid w:val="00260631"/>
    <w:rsid w:val="002629D9"/>
    <w:rsid w:val="00262A06"/>
    <w:rsid w:val="00263B15"/>
    <w:rsid w:val="00265557"/>
    <w:rsid w:val="00266B15"/>
    <w:rsid w:val="00271371"/>
    <w:rsid w:val="0027210A"/>
    <w:rsid w:val="002725FB"/>
    <w:rsid w:val="00275832"/>
    <w:rsid w:val="00277189"/>
    <w:rsid w:val="0027731B"/>
    <w:rsid w:val="002779A4"/>
    <w:rsid w:val="00277D56"/>
    <w:rsid w:val="00282353"/>
    <w:rsid w:val="00282ED6"/>
    <w:rsid w:val="00283BD1"/>
    <w:rsid w:val="00290BA3"/>
    <w:rsid w:val="00290DBC"/>
    <w:rsid w:val="002912E5"/>
    <w:rsid w:val="00291591"/>
    <w:rsid w:val="00292F87"/>
    <w:rsid w:val="002947FB"/>
    <w:rsid w:val="00296573"/>
    <w:rsid w:val="002A0462"/>
    <w:rsid w:val="002A14DA"/>
    <w:rsid w:val="002A56A8"/>
    <w:rsid w:val="002A63BC"/>
    <w:rsid w:val="002A6646"/>
    <w:rsid w:val="002A6B7E"/>
    <w:rsid w:val="002B0DCC"/>
    <w:rsid w:val="002B1E1D"/>
    <w:rsid w:val="002B2D57"/>
    <w:rsid w:val="002B4B88"/>
    <w:rsid w:val="002B796B"/>
    <w:rsid w:val="002C35EA"/>
    <w:rsid w:val="002C3AC9"/>
    <w:rsid w:val="002C5C6F"/>
    <w:rsid w:val="002C6019"/>
    <w:rsid w:val="002D1BBB"/>
    <w:rsid w:val="002D2B84"/>
    <w:rsid w:val="002D52CF"/>
    <w:rsid w:val="002E07BB"/>
    <w:rsid w:val="002E3428"/>
    <w:rsid w:val="002E510D"/>
    <w:rsid w:val="002E57B7"/>
    <w:rsid w:val="002E70A4"/>
    <w:rsid w:val="002F3615"/>
    <w:rsid w:val="002F4552"/>
    <w:rsid w:val="002F559D"/>
    <w:rsid w:val="002F5F3B"/>
    <w:rsid w:val="002F6C2E"/>
    <w:rsid w:val="002F76CE"/>
    <w:rsid w:val="00300047"/>
    <w:rsid w:val="00300065"/>
    <w:rsid w:val="00301C63"/>
    <w:rsid w:val="00303231"/>
    <w:rsid w:val="0030586E"/>
    <w:rsid w:val="003077B9"/>
    <w:rsid w:val="003111B8"/>
    <w:rsid w:val="00312945"/>
    <w:rsid w:val="00315B17"/>
    <w:rsid w:val="00315C5B"/>
    <w:rsid w:val="003160C8"/>
    <w:rsid w:val="003164A3"/>
    <w:rsid w:val="0032559C"/>
    <w:rsid w:val="003270F1"/>
    <w:rsid w:val="003301F5"/>
    <w:rsid w:val="0033298C"/>
    <w:rsid w:val="003348F3"/>
    <w:rsid w:val="00334EDC"/>
    <w:rsid w:val="003358E9"/>
    <w:rsid w:val="00344730"/>
    <w:rsid w:val="00346871"/>
    <w:rsid w:val="00347527"/>
    <w:rsid w:val="0034797E"/>
    <w:rsid w:val="00350115"/>
    <w:rsid w:val="0035447F"/>
    <w:rsid w:val="00363C1E"/>
    <w:rsid w:val="00364304"/>
    <w:rsid w:val="00364E45"/>
    <w:rsid w:val="003663FF"/>
    <w:rsid w:val="003668AA"/>
    <w:rsid w:val="00366F31"/>
    <w:rsid w:val="00372C51"/>
    <w:rsid w:val="00372C60"/>
    <w:rsid w:val="00373D1E"/>
    <w:rsid w:val="00385597"/>
    <w:rsid w:val="00385CBA"/>
    <w:rsid w:val="003865FE"/>
    <w:rsid w:val="00390F7F"/>
    <w:rsid w:val="00394F7F"/>
    <w:rsid w:val="0039548F"/>
    <w:rsid w:val="00395B59"/>
    <w:rsid w:val="0039711E"/>
    <w:rsid w:val="003A1C7E"/>
    <w:rsid w:val="003A4D1A"/>
    <w:rsid w:val="003A4DC8"/>
    <w:rsid w:val="003A5882"/>
    <w:rsid w:val="003B08B4"/>
    <w:rsid w:val="003B099F"/>
    <w:rsid w:val="003B640B"/>
    <w:rsid w:val="003B74CA"/>
    <w:rsid w:val="003C148A"/>
    <w:rsid w:val="003C2978"/>
    <w:rsid w:val="003C44ED"/>
    <w:rsid w:val="003C657E"/>
    <w:rsid w:val="003C6C3A"/>
    <w:rsid w:val="003C7080"/>
    <w:rsid w:val="003D3EA7"/>
    <w:rsid w:val="003D45A7"/>
    <w:rsid w:val="003D54EE"/>
    <w:rsid w:val="003D5B56"/>
    <w:rsid w:val="003E0E28"/>
    <w:rsid w:val="003E4C8E"/>
    <w:rsid w:val="003E6CEA"/>
    <w:rsid w:val="003F3C9F"/>
    <w:rsid w:val="003F4762"/>
    <w:rsid w:val="003F704F"/>
    <w:rsid w:val="003F739B"/>
    <w:rsid w:val="004035CB"/>
    <w:rsid w:val="0040412E"/>
    <w:rsid w:val="00405C0E"/>
    <w:rsid w:val="00410B40"/>
    <w:rsid w:val="004117DA"/>
    <w:rsid w:val="00414EBA"/>
    <w:rsid w:val="004152E3"/>
    <w:rsid w:val="0041796D"/>
    <w:rsid w:val="004207AA"/>
    <w:rsid w:val="00420E4F"/>
    <w:rsid w:val="004217E6"/>
    <w:rsid w:val="004223E7"/>
    <w:rsid w:val="004226F9"/>
    <w:rsid w:val="00422B5D"/>
    <w:rsid w:val="00423101"/>
    <w:rsid w:val="0042328E"/>
    <w:rsid w:val="004233AC"/>
    <w:rsid w:val="00425383"/>
    <w:rsid w:val="00431C88"/>
    <w:rsid w:val="00433A81"/>
    <w:rsid w:val="00433B49"/>
    <w:rsid w:val="00440AEA"/>
    <w:rsid w:val="0044241F"/>
    <w:rsid w:val="00443141"/>
    <w:rsid w:val="00443621"/>
    <w:rsid w:val="004437B5"/>
    <w:rsid w:val="00444A10"/>
    <w:rsid w:val="00447E1E"/>
    <w:rsid w:val="0045295F"/>
    <w:rsid w:val="00452C2C"/>
    <w:rsid w:val="00453C73"/>
    <w:rsid w:val="0045439B"/>
    <w:rsid w:val="004560AE"/>
    <w:rsid w:val="00460276"/>
    <w:rsid w:val="004621DC"/>
    <w:rsid w:val="004642A8"/>
    <w:rsid w:val="00464DDF"/>
    <w:rsid w:val="004651AB"/>
    <w:rsid w:val="00474F8C"/>
    <w:rsid w:val="00477156"/>
    <w:rsid w:val="0048413D"/>
    <w:rsid w:val="00486702"/>
    <w:rsid w:val="00486B7A"/>
    <w:rsid w:val="00490E96"/>
    <w:rsid w:val="0049334F"/>
    <w:rsid w:val="004A370C"/>
    <w:rsid w:val="004B1327"/>
    <w:rsid w:val="004B3D98"/>
    <w:rsid w:val="004B3EE1"/>
    <w:rsid w:val="004B5192"/>
    <w:rsid w:val="004B579D"/>
    <w:rsid w:val="004B6447"/>
    <w:rsid w:val="004B6818"/>
    <w:rsid w:val="004B6907"/>
    <w:rsid w:val="004C08D7"/>
    <w:rsid w:val="004C1602"/>
    <w:rsid w:val="004C2E84"/>
    <w:rsid w:val="004C3952"/>
    <w:rsid w:val="004C3E72"/>
    <w:rsid w:val="004C4092"/>
    <w:rsid w:val="004C7521"/>
    <w:rsid w:val="004C78DD"/>
    <w:rsid w:val="004D2263"/>
    <w:rsid w:val="004D73A4"/>
    <w:rsid w:val="004E077E"/>
    <w:rsid w:val="004E0B28"/>
    <w:rsid w:val="004E1578"/>
    <w:rsid w:val="004E3E59"/>
    <w:rsid w:val="004E4364"/>
    <w:rsid w:val="004E5D56"/>
    <w:rsid w:val="004F0B0A"/>
    <w:rsid w:val="004F1645"/>
    <w:rsid w:val="004F4C10"/>
    <w:rsid w:val="004F6F42"/>
    <w:rsid w:val="00500CE9"/>
    <w:rsid w:val="005015A7"/>
    <w:rsid w:val="00513729"/>
    <w:rsid w:val="00516D55"/>
    <w:rsid w:val="005172FF"/>
    <w:rsid w:val="00517330"/>
    <w:rsid w:val="00520D2B"/>
    <w:rsid w:val="005213E2"/>
    <w:rsid w:val="00521879"/>
    <w:rsid w:val="005221B6"/>
    <w:rsid w:val="00524501"/>
    <w:rsid w:val="00526B1D"/>
    <w:rsid w:val="00527093"/>
    <w:rsid w:val="00530F12"/>
    <w:rsid w:val="005310B7"/>
    <w:rsid w:val="005317B1"/>
    <w:rsid w:val="00531C44"/>
    <w:rsid w:val="005377F3"/>
    <w:rsid w:val="00537AAE"/>
    <w:rsid w:val="00541A43"/>
    <w:rsid w:val="00542D90"/>
    <w:rsid w:val="00543350"/>
    <w:rsid w:val="00543C8F"/>
    <w:rsid w:val="0054519B"/>
    <w:rsid w:val="005451A2"/>
    <w:rsid w:val="00546AA1"/>
    <w:rsid w:val="00547596"/>
    <w:rsid w:val="005478E9"/>
    <w:rsid w:val="00547B3E"/>
    <w:rsid w:val="00551D4B"/>
    <w:rsid w:val="005528F3"/>
    <w:rsid w:val="00554CB8"/>
    <w:rsid w:val="005554E9"/>
    <w:rsid w:val="00555D0E"/>
    <w:rsid w:val="00556122"/>
    <w:rsid w:val="00556AFF"/>
    <w:rsid w:val="00562C7F"/>
    <w:rsid w:val="00562FE0"/>
    <w:rsid w:val="00563EA3"/>
    <w:rsid w:val="005644B1"/>
    <w:rsid w:val="005663CC"/>
    <w:rsid w:val="00571496"/>
    <w:rsid w:val="00571B7C"/>
    <w:rsid w:val="00572B84"/>
    <w:rsid w:val="00573A3C"/>
    <w:rsid w:val="0057540A"/>
    <w:rsid w:val="00585EC3"/>
    <w:rsid w:val="00587463"/>
    <w:rsid w:val="005930B7"/>
    <w:rsid w:val="00593B82"/>
    <w:rsid w:val="005A0CFE"/>
    <w:rsid w:val="005A1276"/>
    <w:rsid w:val="005A1F22"/>
    <w:rsid w:val="005A4A15"/>
    <w:rsid w:val="005A5470"/>
    <w:rsid w:val="005A6C40"/>
    <w:rsid w:val="005A7ED1"/>
    <w:rsid w:val="005B0E6D"/>
    <w:rsid w:val="005B2E5E"/>
    <w:rsid w:val="005B3E3B"/>
    <w:rsid w:val="005C0576"/>
    <w:rsid w:val="005C2DE3"/>
    <w:rsid w:val="005C47B4"/>
    <w:rsid w:val="005C599B"/>
    <w:rsid w:val="005D02E8"/>
    <w:rsid w:val="005D1C23"/>
    <w:rsid w:val="005D36F6"/>
    <w:rsid w:val="005D7CEC"/>
    <w:rsid w:val="005D7E2A"/>
    <w:rsid w:val="005E009E"/>
    <w:rsid w:val="005E16E8"/>
    <w:rsid w:val="005E1C5F"/>
    <w:rsid w:val="005E2588"/>
    <w:rsid w:val="005E2E7D"/>
    <w:rsid w:val="005E33AB"/>
    <w:rsid w:val="005E5679"/>
    <w:rsid w:val="005E5DCE"/>
    <w:rsid w:val="005E5FDE"/>
    <w:rsid w:val="005E764A"/>
    <w:rsid w:val="005F0EB3"/>
    <w:rsid w:val="005F1621"/>
    <w:rsid w:val="005F2754"/>
    <w:rsid w:val="005F6BB0"/>
    <w:rsid w:val="005F740C"/>
    <w:rsid w:val="006072C6"/>
    <w:rsid w:val="0061020B"/>
    <w:rsid w:val="00610E95"/>
    <w:rsid w:val="00613168"/>
    <w:rsid w:val="006139CB"/>
    <w:rsid w:val="00614645"/>
    <w:rsid w:val="006160A3"/>
    <w:rsid w:val="006178AD"/>
    <w:rsid w:val="00617E54"/>
    <w:rsid w:val="00620627"/>
    <w:rsid w:val="00621FDD"/>
    <w:rsid w:val="00622811"/>
    <w:rsid w:val="00623DC1"/>
    <w:rsid w:val="00626E1B"/>
    <w:rsid w:val="006316F1"/>
    <w:rsid w:val="006356F5"/>
    <w:rsid w:val="00635857"/>
    <w:rsid w:val="00636FD8"/>
    <w:rsid w:val="00642DEE"/>
    <w:rsid w:val="00643871"/>
    <w:rsid w:val="0064438F"/>
    <w:rsid w:val="00644F26"/>
    <w:rsid w:val="0064626D"/>
    <w:rsid w:val="00646C1E"/>
    <w:rsid w:val="00647209"/>
    <w:rsid w:val="00650684"/>
    <w:rsid w:val="00650D4C"/>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6D64"/>
    <w:rsid w:val="00687DCF"/>
    <w:rsid w:val="0069183A"/>
    <w:rsid w:val="00692019"/>
    <w:rsid w:val="00695F88"/>
    <w:rsid w:val="00697392"/>
    <w:rsid w:val="006A0DCA"/>
    <w:rsid w:val="006A281C"/>
    <w:rsid w:val="006A3102"/>
    <w:rsid w:val="006A7621"/>
    <w:rsid w:val="006B138F"/>
    <w:rsid w:val="006B1CBC"/>
    <w:rsid w:val="006B1D58"/>
    <w:rsid w:val="006B2225"/>
    <w:rsid w:val="006B2B52"/>
    <w:rsid w:val="006B330D"/>
    <w:rsid w:val="006B6158"/>
    <w:rsid w:val="006B64D5"/>
    <w:rsid w:val="006B7D66"/>
    <w:rsid w:val="006C0C27"/>
    <w:rsid w:val="006C1F1B"/>
    <w:rsid w:val="006C5333"/>
    <w:rsid w:val="006D14C9"/>
    <w:rsid w:val="006D1BD1"/>
    <w:rsid w:val="006D1DCB"/>
    <w:rsid w:val="006D26B3"/>
    <w:rsid w:val="006D3055"/>
    <w:rsid w:val="006D4D59"/>
    <w:rsid w:val="006D644A"/>
    <w:rsid w:val="006D7E5E"/>
    <w:rsid w:val="006E2224"/>
    <w:rsid w:val="006E3FD5"/>
    <w:rsid w:val="006E5DE8"/>
    <w:rsid w:val="006F40AC"/>
    <w:rsid w:val="006F4B5F"/>
    <w:rsid w:val="006F57F8"/>
    <w:rsid w:val="006F76C4"/>
    <w:rsid w:val="006F7CDF"/>
    <w:rsid w:val="00702CC8"/>
    <w:rsid w:val="00702FDB"/>
    <w:rsid w:val="00705E52"/>
    <w:rsid w:val="007065BB"/>
    <w:rsid w:val="00706ABA"/>
    <w:rsid w:val="007072AA"/>
    <w:rsid w:val="007073DC"/>
    <w:rsid w:val="007113B3"/>
    <w:rsid w:val="0071498F"/>
    <w:rsid w:val="0072014B"/>
    <w:rsid w:val="0072078D"/>
    <w:rsid w:val="00723D15"/>
    <w:rsid w:val="00723E2B"/>
    <w:rsid w:val="00726CD0"/>
    <w:rsid w:val="00727807"/>
    <w:rsid w:val="0073125B"/>
    <w:rsid w:val="0073199F"/>
    <w:rsid w:val="007344EE"/>
    <w:rsid w:val="00736B64"/>
    <w:rsid w:val="007402E8"/>
    <w:rsid w:val="00740588"/>
    <w:rsid w:val="0074170B"/>
    <w:rsid w:val="00742A8A"/>
    <w:rsid w:val="007439B3"/>
    <w:rsid w:val="0074457B"/>
    <w:rsid w:val="007458FB"/>
    <w:rsid w:val="00746A39"/>
    <w:rsid w:val="007474A1"/>
    <w:rsid w:val="00750C2C"/>
    <w:rsid w:val="007516B0"/>
    <w:rsid w:val="00752B46"/>
    <w:rsid w:val="00755418"/>
    <w:rsid w:val="00767609"/>
    <w:rsid w:val="007679B8"/>
    <w:rsid w:val="00767C3D"/>
    <w:rsid w:val="00770D67"/>
    <w:rsid w:val="00771E36"/>
    <w:rsid w:val="00772CE4"/>
    <w:rsid w:val="00776DD9"/>
    <w:rsid w:val="0078264E"/>
    <w:rsid w:val="007829F2"/>
    <w:rsid w:val="007837DC"/>
    <w:rsid w:val="00783E3E"/>
    <w:rsid w:val="007841F6"/>
    <w:rsid w:val="00785F3A"/>
    <w:rsid w:val="007864ED"/>
    <w:rsid w:val="0079041F"/>
    <w:rsid w:val="00790E04"/>
    <w:rsid w:val="00793D35"/>
    <w:rsid w:val="00796F1A"/>
    <w:rsid w:val="007A13F8"/>
    <w:rsid w:val="007A5742"/>
    <w:rsid w:val="007A6A57"/>
    <w:rsid w:val="007A6BBA"/>
    <w:rsid w:val="007B12E1"/>
    <w:rsid w:val="007B3E97"/>
    <w:rsid w:val="007B4440"/>
    <w:rsid w:val="007B58AA"/>
    <w:rsid w:val="007B5B00"/>
    <w:rsid w:val="007B6A37"/>
    <w:rsid w:val="007C044A"/>
    <w:rsid w:val="007C4DBE"/>
    <w:rsid w:val="007C4F8E"/>
    <w:rsid w:val="007C7A2A"/>
    <w:rsid w:val="007D4304"/>
    <w:rsid w:val="007D4516"/>
    <w:rsid w:val="007D5970"/>
    <w:rsid w:val="007D5EA1"/>
    <w:rsid w:val="007E2022"/>
    <w:rsid w:val="007E3579"/>
    <w:rsid w:val="007E4944"/>
    <w:rsid w:val="007F0881"/>
    <w:rsid w:val="007F0FB9"/>
    <w:rsid w:val="007F3520"/>
    <w:rsid w:val="007F4814"/>
    <w:rsid w:val="00801728"/>
    <w:rsid w:val="00807C4D"/>
    <w:rsid w:val="00810A81"/>
    <w:rsid w:val="00810C70"/>
    <w:rsid w:val="00810F63"/>
    <w:rsid w:val="008168F6"/>
    <w:rsid w:val="008225B9"/>
    <w:rsid w:val="00823D1B"/>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4701"/>
    <w:rsid w:val="008507B5"/>
    <w:rsid w:val="00855ED0"/>
    <w:rsid w:val="00856688"/>
    <w:rsid w:val="00856F94"/>
    <w:rsid w:val="0086199F"/>
    <w:rsid w:val="00865A3F"/>
    <w:rsid w:val="00865F2C"/>
    <w:rsid w:val="0086671A"/>
    <w:rsid w:val="0087068B"/>
    <w:rsid w:val="00870888"/>
    <w:rsid w:val="00870AB5"/>
    <w:rsid w:val="00871D82"/>
    <w:rsid w:val="0087214F"/>
    <w:rsid w:val="0087393E"/>
    <w:rsid w:val="00873989"/>
    <w:rsid w:val="00875519"/>
    <w:rsid w:val="0087617A"/>
    <w:rsid w:val="00876D88"/>
    <w:rsid w:val="008810AC"/>
    <w:rsid w:val="00884A78"/>
    <w:rsid w:val="00884D98"/>
    <w:rsid w:val="00885132"/>
    <w:rsid w:val="008856A9"/>
    <w:rsid w:val="00886DC0"/>
    <w:rsid w:val="00892511"/>
    <w:rsid w:val="00892F44"/>
    <w:rsid w:val="00895609"/>
    <w:rsid w:val="008A054F"/>
    <w:rsid w:val="008A0B0E"/>
    <w:rsid w:val="008A1184"/>
    <w:rsid w:val="008A1643"/>
    <w:rsid w:val="008A29A5"/>
    <w:rsid w:val="008A48CE"/>
    <w:rsid w:val="008A5935"/>
    <w:rsid w:val="008B3B82"/>
    <w:rsid w:val="008B5E4E"/>
    <w:rsid w:val="008B7B2C"/>
    <w:rsid w:val="008C17EF"/>
    <w:rsid w:val="008C1B7A"/>
    <w:rsid w:val="008C4CF0"/>
    <w:rsid w:val="008D2D41"/>
    <w:rsid w:val="008D3E7E"/>
    <w:rsid w:val="008D4852"/>
    <w:rsid w:val="008D5780"/>
    <w:rsid w:val="008D6483"/>
    <w:rsid w:val="008D682B"/>
    <w:rsid w:val="008D7150"/>
    <w:rsid w:val="008D75CA"/>
    <w:rsid w:val="008D77EA"/>
    <w:rsid w:val="008D7F41"/>
    <w:rsid w:val="008E0F86"/>
    <w:rsid w:val="008E1A78"/>
    <w:rsid w:val="008E4576"/>
    <w:rsid w:val="008E50E0"/>
    <w:rsid w:val="008F246D"/>
    <w:rsid w:val="008F3383"/>
    <w:rsid w:val="008F437F"/>
    <w:rsid w:val="008F4A49"/>
    <w:rsid w:val="008F70E8"/>
    <w:rsid w:val="008F73D0"/>
    <w:rsid w:val="008F7E29"/>
    <w:rsid w:val="0090425E"/>
    <w:rsid w:val="00905357"/>
    <w:rsid w:val="009109DC"/>
    <w:rsid w:val="00915082"/>
    <w:rsid w:val="00915F64"/>
    <w:rsid w:val="00917007"/>
    <w:rsid w:val="0091783D"/>
    <w:rsid w:val="00917E0E"/>
    <w:rsid w:val="00920B68"/>
    <w:rsid w:val="0092113E"/>
    <w:rsid w:val="00921E1E"/>
    <w:rsid w:val="00923273"/>
    <w:rsid w:val="00925B73"/>
    <w:rsid w:val="00936195"/>
    <w:rsid w:val="00941F4F"/>
    <w:rsid w:val="00943353"/>
    <w:rsid w:val="009459AA"/>
    <w:rsid w:val="00946B8B"/>
    <w:rsid w:val="00947E7B"/>
    <w:rsid w:val="00953FEC"/>
    <w:rsid w:val="009605C9"/>
    <w:rsid w:val="00962FD3"/>
    <w:rsid w:val="00963B54"/>
    <w:rsid w:val="009649B8"/>
    <w:rsid w:val="00965199"/>
    <w:rsid w:val="009666A6"/>
    <w:rsid w:val="00967FA9"/>
    <w:rsid w:val="0097266B"/>
    <w:rsid w:val="00972969"/>
    <w:rsid w:val="0097745B"/>
    <w:rsid w:val="00982314"/>
    <w:rsid w:val="00983B9C"/>
    <w:rsid w:val="009872BA"/>
    <w:rsid w:val="0099334E"/>
    <w:rsid w:val="00994509"/>
    <w:rsid w:val="0099585E"/>
    <w:rsid w:val="00995E82"/>
    <w:rsid w:val="009A3753"/>
    <w:rsid w:val="009A4483"/>
    <w:rsid w:val="009A5C7C"/>
    <w:rsid w:val="009A6384"/>
    <w:rsid w:val="009A7A6C"/>
    <w:rsid w:val="009B0736"/>
    <w:rsid w:val="009B0F76"/>
    <w:rsid w:val="009B103A"/>
    <w:rsid w:val="009B21D7"/>
    <w:rsid w:val="009B4C2F"/>
    <w:rsid w:val="009B6E74"/>
    <w:rsid w:val="009B7CA9"/>
    <w:rsid w:val="009C17F5"/>
    <w:rsid w:val="009C48AA"/>
    <w:rsid w:val="009C632B"/>
    <w:rsid w:val="009C6B7C"/>
    <w:rsid w:val="009C72B4"/>
    <w:rsid w:val="009D0855"/>
    <w:rsid w:val="009D4AA4"/>
    <w:rsid w:val="009D62D7"/>
    <w:rsid w:val="009D6461"/>
    <w:rsid w:val="009D6A6C"/>
    <w:rsid w:val="009E0DB5"/>
    <w:rsid w:val="009E1147"/>
    <w:rsid w:val="009E7B26"/>
    <w:rsid w:val="009F0900"/>
    <w:rsid w:val="009F2139"/>
    <w:rsid w:val="009F33E5"/>
    <w:rsid w:val="009F3934"/>
    <w:rsid w:val="009F6BA8"/>
    <w:rsid w:val="009F7021"/>
    <w:rsid w:val="00A0008E"/>
    <w:rsid w:val="00A02176"/>
    <w:rsid w:val="00A04160"/>
    <w:rsid w:val="00A069EA"/>
    <w:rsid w:val="00A0759A"/>
    <w:rsid w:val="00A07BCF"/>
    <w:rsid w:val="00A07E99"/>
    <w:rsid w:val="00A13FDE"/>
    <w:rsid w:val="00A149C8"/>
    <w:rsid w:val="00A16C9C"/>
    <w:rsid w:val="00A16F76"/>
    <w:rsid w:val="00A17145"/>
    <w:rsid w:val="00A17878"/>
    <w:rsid w:val="00A215A8"/>
    <w:rsid w:val="00A21B04"/>
    <w:rsid w:val="00A21F13"/>
    <w:rsid w:val="00A24563"/>
    <w:rsid w:val="00A24E2B"/>
    <w:rsid w:val="00A25235"/>
    <w:rsid w:val="00A259DE"/>
    <w:rsid w:val="00A27EC9"/>
    <w:rsid w:val="00A30B20"/>
    <w:rsid w:val="00A321D0"/>
    <w:rsid w:val="00A40714"/>
    <w:rsid w:val="00A4229D"/>
    <w:rsid w:val="00A473E6"/>
    <w:rsid w:val="00A479A6"/>
    <w:rsid w:val="00A507F8"/>
    <w:rsid w:val="00A5167F"/>
    <w:rsid w:val="00A54491"/>
    <w:rsid w:val="00A55811"/>
    <w:rsid w:val="00A56DB3"/>
    <w:rsid w:val="00A576D8"/>
    <w:rsid w:val="00A65F03"/>
    <w:rsid w:val="00A676BE"/>
    <w:rsid w:val="00A7115B"/>
    <w:rsid w:val="00A7332A"/>
    <w:rsid w:val="00A74417"/>
    <w:rsid w:val="00A74E7B"/>
    <w:rsid w:val="00A76718"/>
    <w:rsid w:val="00A76A7A"/>
    <w:rsid w:val="00A76B8A"/>
    <w:rsid w:val="00A82DCE"/>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753B"/>
    <w:rsid w:val="00AB314B"/>
    <w:rsid w:val="00AB769F"/>
    <w:rsid w:val="00AC0525"/>
    <w:rsid w:val="00AC1C80"/>
    <w:rsid w:val="00AC32D2"/>
    <w:rsid w:val="00AC3A2C"/>
    <w:rsid w:val="00AD35C1"/>
    <w:rsid w:val="00AD5012"/>
    <w:rsid w:val="00AD6E8B"/>
    <w:rsid w:val="00AE16BB"/>
    <w:rsid w:val="00AE21DC"/>
    <w:rsid w:val="00AE2994"/>
    <w:rsid w:val="00AE29A1"/>
    <w:rsid w:val="00AE37EF"/>
    <w:rsid w:val="00AE4016"/>
    <w:rsid w:val="00AE49BB"/>
    <w:rsid w:val="00AE56C6"/>
    <w:rsid w:val="00AE7E00"/>
    <w:rsid w:val="00AF1702"/>
    <w:rsid w:val="00AF171F"/>
    <w:rsid w:val="00AF2AEF"/>
    <w:rsid w:val="00AF48AA"/>
    <w:rsid w:val="00AF5F7C"/>
    <w:rsid w:val="00AF613F"/>
    <w:rsid w:val="00AF6606"/>
    <w:rsid w:val="00AF77F6"/>
    <w:rsid w:val="00B12A0E"/>
    <w:rsid w:val="00B12D9E"/>
    <w:rsid w:val="00B17371"/>
    <w:rsid w:val="00B219BA"/>
    <w:rsid w:val="00B23B68"/>
    <w:rsid w:val="00B249F9"/>
    <w:rsid w:val="00B2515A"/>
    <w:rsid w:val="00B277FB"/>
    <w:rsid w:val="00B31BDB"/>
    <w:rsid w:val="00B33E5E"/>
    <w:rsid w:val="00B34FB7"/>
    <w:rsid w:val="00B3767A"/>
    <w:rsid w:val="00B425F0"/>
    <w:rsid w:val="00B42DB3"/>
    <w:rsid w:val="00B440BA"/>
    <w:rsid w:val="00B5033E"/>
    <w:rsid w:val="00B524A5"/>
    <w:rsid w:val="00B5495A"/>
    <w:rsid w:val="00B573B8"/>
    <w:rsid w:val="00B630F0"/>
    <w:rsid w:val="00B64989"/>
    <w:rsid w:val="00B66856"/>
    <w:rsid w:val="00B67388"/>
    <w:rsid w:val="00B7029C"/>
    <w:rsid w:val="00B7776A"/>
    <w:rsid w:val="00B82D5B"/>
    <w:rsid w:val="00B86008"/>
    <w:rsid w:val="00B9092A"/>
    <w:rsid w:val="00B9165A"/>
    <w:rsid w:val="00B95218"/>
    <w:rsid w:val="00B9736A"/>
    <w:rsid w:val="00BA20A3"/>
    <w:rsid w:val="00BA21BC"/>
    <w:rsid w:val="00BA3800"/>
    <w:rsid w:val="00BA5980"/>
    <w:rsid w:val="00BA7C43"/>
    <w:rsid w:val="00BB2265"/>
    <w:rsid w:val="00BB25B6"/>
    <w:rsid w:val="00BB3188"/>
    <w:rsid w:val="00BB588A"/>
    <w:rsid w:val="00BB58AF"/>
    <w:rsid w:val="00BC0BF3"/>
    <w:rsid w:val="00BC1F5A"/>
    <w:rsid w:val="00BC292B"/>
    <w:rsid w:val="00BC2F06"/>
    <w:rsid w:val="00BC58DB"/>
    <w:rsid w:val="00BC6A40"/>
    <w:rsid w:val="00BC7B82"/>
    <w:rsid w:val="00BD06F6"/>
    <w:rsid w:val="00BD1AA4"/>
    <w:rsid w:val="00BD2036"/>
    <w:rsid w:val="00BD4D85"/>
    <w:rsid w:val="00BD60F5"/>
    <w:rsid w:val="00BD7246"/>
    <w:rsid w:val="00BD7ECA"/>
    <w:rsid w:val="00BE3640"/>
    <w:rsid w:val="00BE4B24"/>
    <w:rsid w:val="00BF3812"/>
    <w:rsid w:val="00BF5AFB"/>
    <w:rsid w:val="00BF6DA1"/>
    <w:rsid w:val="00C00DFD"/>
    <w:rsid w:val="00C00F11"/>
    <w:rsid w:val="00C018B6"/>
    <w:rsid w:val="00C02C33"/>
    <w:rsid w:val="00C055A7"/>
    <w:rsid w:val="00C07E9C"/>
    <w:rsid w:val="00C07EC5"/>
    <w:rsid w:val="00C20912"/>
    <w:rsid w:val="00C20E8F"/>
    <w:rsid w:val="00C26180"/>
    <w:rsid w:val="00C2779B"/>
    <w:rsid w:val="00C32BEB"/>
    <w:rsid w:val="00C3358E"/>
    <w:rsid w:val="00C341E3"/>
    <w:rsid w:val="00C348ED"/>
    <w:rsid w:val="00C34B6E"/>
    <w:rsid w:val="00C34EAF"/>
    <w:rsid w:val="00C35388"/>
    <w:rsid w:val="00C36CC3"/>
    <w:rsid w:val="00C37787"/>
    <w:rsid w:val="00C4220E"/>
    <w:rsid w:val="00C425D3"/>
    <w:rsid w:val="00C45BBF"/>
    <w:rsid w:val="00C47556"/>
    <w:rsid w:val="00C47595"/>
    <w:rsid w:val="00C50F25"/>
    <w:rsid w:val="00C52E4C"/>
    <w:rsid w:val="00C52E7E"/>
    <w:rsid w:val="00C538DD"/>
    <w:rsid w:val="00C53942"/>
    <w:rsid w:val="00C57421"/>
    <w:rsid w:val="00C65BAF"/>
    <w:rsid w:val="00C71260"/>
    <w:rsid w:val="00C72C51"/>
    <w:rsid w:val="00C754E0"/>
    <w:rsid w:val="00C75733"/>
    <w:rsid w:val="00C76AD1"/>
    <w:rsid w:val="00C76FD8"/>
    <w:rsid w:val="00C815FC"/>
    <w:rsid w:val="00C83EC3"/>
    <w:rsid w:val="00C8517C"/>
    <w:rsid w:val="00C8536F"/>
    <w:rsid w:val="00C86957"/>
    <w:rsid w:val="00C871DD"/>
    <w:rsid w:val="00C9042A"/>
    <w:rsid w:val="00C92150"/>
    <w:rsid w:val="00C929E1"/>
    <w:rsid w:val="00C96191"/>
    <w:rsid w:val="00C96BB4"/>
    <w:rsid w:val="00CA104D"/>
    <w:rsid w:val="00CA431D"/>
    <w:rsid w:val="00CA6014"/>
    <w:rsid w:val="00CB1ABF"/>
    <w:rsid w:val="00CB2FE8"/>
    <w:rsid w:val="00CB33E0"/>
    <w:rsid w:val="00CB5AD9"/>
    <w:rsid w:val="00CB5ADE"/>
    <w:rsid w:val="00CC06BA"/>
    <w:rsid w:val="00CC3B4A"/>
    <w:rsid w:val="00CC58A6"/>
    <w:rsid w:val="00CD00C3"/>
    <w:rsid w:val="00CD02CA"/>
    <w:rsid w:val="00CD2AEB"/>
    <w:rsid w:val="00CD319D"/>
    <w:rsid w:val="00CD4B77"/>
    <w:rsid w:val="00CD4EE9"/>
    <w:rsid w:val="00CE17B7"/>
    <w:rsid w:val="00CE2B87"/>
    <w:rsid w:val="00CF150C"/>
    <w:rsid w:val="00CF4DA1"/>
    <w:rsid w:val="00CF513A"/>
    <w:rsid w:val="00CF54E4"/>
    <w:rsid w:val="00CF5E57"/>
    <w:rsid w:val="00D06B75"/>
    <w:rsid w:val="00D11C81"/>
    <w:rsid w:val="00D167E9"/>
    <w:rsid w:val="00D1744D"/>
    <w:rsid w:val="00D17CE0"/>
    <w:rsid w:val="00D23535"/>
    <w:rsid w:val="00D24006"/>
    <w:rsid w:val="00D2589D"/>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E12"/>
    <w:rsid w:val="00D7221D"/>
    <w:rsid w:val="00D74130"/>
    <w:rsid w:val="00D74178"/>
    <w:rsid w:val="00D747C1"/>
    <w:rsid w:val="00D7551B"/>
    <w:rsid w:val="00D806F6"/>
    <w:rsid w:val="00D846EB"/>
    <w:rsid w:val="00D86A6A"/>
    <w:rsid w:val="00D91ADB"/>
    <w:rsid w:val="00D9269C"/>
    <w:rsid w:val="00D9325B"/>
    <w:rsid w:val="00D93425"/>
    <w:rsid w:val="00D9479E"/>
    <w:rsid w:val="00D95CB5"/>
    <w:rsid w:val="00D96A32"/>
    <w:rsid w:val="00D9705C"/>
    <w:rsid w:val="00D97677"/>
    <w:rsid w:val="00DA110A"/>
    <w:rsid w:val="00DA1344"/>
    <w:rsid w:val="00DA3156"/>
    <w:rsid w:val="00DA3292"/>
    <w:rsid w:val="00DA4F17"/>
    <w:rsid w:val="00DB0858"/>
    <w:rsid w:val="00DB121C"/>
    <w:rsid w:val="00DB3B16"/>
    <w:rsid w:val="00DB42C9"/>
    <w:rsid w:val="00DB4540"/>
    <w:rsid w:val="00DB4D9A"/>
    <w:rsid w:val="00DB5054"/>
    <w:rsid w:val="00DC5D0D"/>
    <w:rsid w:val="00DC6600"/>
    <w:rsid w:val="00DC69A6"/>
    <w:rsid w:val="00DC7C3A"/>
    <w:rsid w:val="00DD290A"/>
    <w:rsid w:val="00DD50E0"/>
    <w:rsid w:val="00DD55DD"/>
    <w:rsid w:val="00DD569B"/>
    <w:rsid w:val="00DD5A59"/>
    <w:rsid w:val="00DD6BEA"/>
    <w:rsid w:val="00DD6FE1"/>
    <w:rsid w:val="00DE26DC"/>
    <w:rsid w:val="00DE299C"/>
    <w:rsid w:val="00DE2E17"/>
    <w:rsid w:val="00DF23D9"/>
    <w:rsid w:val="00DF3255"/>
    <w:rsid w:val="00DF4342"/>
    <w:rsid w:val="00DF4835"/>
    <w:rsid w:val="00E009C6"/>
    <w:rsid w:val="00E052A5"/>
    <w:rsid w:val="00E07BD4"/>
    <w:rsid w:val="00E10927"/>
    <w:rsid w:val="00E15F4D"/>
    <w:rsid w:val="00E168C6"/>
    <w:rsid w:val="00E16DA3"/>
    <w:rsid w:val="00E176AF"/>
    <w:rsid w:val="00E25003"/>
    <w:rsid w:val="00E32745"/>
    <w:rsid w:val="00E33BD8"/>
    <w:rsid w:val="00E36449"/>
    <w:rsid w:val="00E365F2"/>
    <w:rsid w:val="00E36A06"/>
    <w:rsid w:val="00E37111"/>
    <w:rsid w:val="00E43814"/>
    <w:rsid w:val="00E445A5"/>
    <w:rsid w:val="00E46CE4"/>
    <w:rsid w:val="00E54367"/>
    <w:rsid w:val="00E54566"/>
    <w:rsid w:val="00E54E07"/>
    <w:rsid w:val="00E55AAC"/>
    <w:rsid w:val="00E55B85"/>
    <w:rsid w:val="00E566A0"/>
    <w:rsid w:val="00E57143"/>
    <w:rsid w:val="00E635CB"/>
    <w:rsid w:val="00E6452F"/>
    <w:rsid w:val="00E66CB6"/>
    <w:rsid w:val="00E6798C"/>
    <w:rsid w:val="00E7032B"/>
    <w:rsid w:val="00E73537"/>
    <w:rsid w:val="00E73E1D"/>
    <w:rsid w:val="00E73E9B"/>
    <w:rsid w:val="00E835B2"/>
    <w:rsid w:val="00E83ED2"/>
    <w:rsid w:val="00E87328"/>
    <w:rsid w:val="00E91DBE"/>
    <w:rsid w:val="00E921FE"/>
    <w:rsid w:val="00E92F2D"/>
    <w:rsid w:val="00E936C8"/>
    <w:rsid w:val="00E93F76"/>
    <w:rsid w:val="00E95DF8"/>
    <w:rsid w:val="00E97045"/>
    <w:rsid w:val="00EA25AB"/>
    <w:rsid w:val="00EA2947"/>
    <w:rsid w:val="00EA6F3E"/>
    <w:rsid w:val="00EA7301"/>
    <w:rsid w:val="00EB10CB"/>
    <w:rsid w:val="00EB2745"/>
    <w:rsid w:val="00EB3379"/>
    <w:rsid w:val="00EB3EC7"/>
    <w:rsid w:val="00EB4BFF"/>
    <w:rsid w:val="00EB5C3B"/>
    <w:rsid w:val="00EB610C"/>
    <w:rsid w:val="00EB6CDE"/>
    <w:rsid w:val="00EC0139"/>
    <w:rsid w:val="00EC7B88"/>
    <w:rsid w:val="00ED182B"/>
    <w:rsid w:val="00ED4B65"/>
    <w:rsid w:val="00EE036B"/>
    <w:rsid w:val="00EE3557"/>
    <w:rsid w:val="00EE63B4"/>
    <w:rsid w:val="00EE7CD1"/>
    <w:rsid w:val="00EF3ACF"/>
    <w:rsid w:val="00EF582C"/>
    <w:rsid w:val="00EF5AD8"/>
    <w:rsid w:val="00F019A7"/>
    <w:rsid w:val="00F03E14"/>
    <w:rsid w:val="00F04306"/>
    <w:rsid w:val="00F05A56"/>
    <w:rsid w:val="00F12E24"/>
    <w:rsid w:val="00F215A5"/>
    <w:rsid w:val="00F2254C"/>
    <w:rsid w:val="00F25783"/>
    <w:rsid w:val="00F3150F"/>
    <w:rsid w:val="00F32A39"/>
    <w:rsid w:val="00F33283"/>
    <w:rsid w:val="00F34ABA"/>
    <w:rsid w:val="00F34E0A"/>
    <w:rsid w:val="00F35FF2"/>
    <w:rsid w:val="00F3766C"/>
    <w:rsid w:val="00F40E06"/>
    <w:rsid w:val="00F4146D"/>
    <w:rsid w:val="00F50B11"/>
    <w:rsid w:val="00F5261A"/>
    <w:rsid w:val="00F54506"/>
    <w:rsid w:val="00F54B11"/>
    <w:rsid w:val="00F55A68"/>
    <w:rsid w:val="00F57AF7"/>
    <w:rsid w:val="00F62004"/>
    <w:rsid w:val="00F63908"/>
    <w:rsid w:val="00F63D72"/>
    <w:rsid w:val="00F64930"/>
    <w:rsid w:val="00F64E18"/>
    <w:rsid w:val="00F65792"/>
    <w:rsid w:val="00F70055"/>
    <w:rsid w:val="00F70A11"/>
    <w:rsid w:val="00F728D1"/>
    <w:rsid w:val="00F741BB"/>
    <w:rsid w:val="00F74774"/>
    <w:rsid w:val="00F749E8"/>
    <w:rsid w:val="00F74A7F"/>
    <w:rsid w:val="00F7505E"/>
    <w:rsid w:val="00F81FA0"/>
    <w:rsid w:val="00F827B9"/>
    <w:rsid w:val="00F82CEB"/>
    <w:rsid w:val="00F82E87"/>
    <w:rsid w:val="00F846C3"/>
    <w:rsid w:val="00F91546"/>
    <w:rsid w:val="00F92019"/>
    <w:rsid w:val="00F949A1"/>
    <w:rsid w:val="00F96354"/>
    <w:rsid w:val="00FA1D91"/>
    <w:rsid w:val="00FA2C72"/>
    <w:rsid w:val="00FA53F1"/>
    <w:rsid w:val="00FB1250"/>
    <w:rsid w:val="00FB1467"/>
    <w:rsid w:val="00FB2175"/>
    <w:rsid w:val="00FB2C79"/>
    <w:rsid w:val="00FB5671"/>
    <w:rsid w:val="00FB78B9"/>
    <w:rsid w:val="00FC02AF"/>
    <w:rsid w:val="00FC2856"/>
    <w:rsid w:val="00FC289E"/>
    <w:rsid w:val="00FC28D5"/>
    <w:rsid w:val="00FC481B"/>
    <w:rsid w:val="00FC79D0"/>
    <w:rsid w:val="00FD0469"/>
    <w:rsid w:val="00FD22CE"/>
    <w:rsid w:val="00FD3CC5"/>
    <w:rsid w:val="00FD4E47"/>
    <w:rsid w:val="00FD7331"/>
    <w:rsid w:val="00FD7487"/>
    <w:rsid w:val="00FE14CA"/>
    <w:rsid w:val="00FE1626"/>
    <w:rsid w:val="00FE206E"/>
    <w:rsid w:val="00FE2681"/>
    <w:rsid w:val="00FE3398"/>
    <w:rsid w:val="00FE3D78"/>
    <w:rsid w:val="00FE4B16"/>
    <w:rsid w:val="00FF120B"/>
    <w:rsid w:val="00FF222C"/>
    <w:rsid w:val="00FF281F"/>
    <w:rsid w:val="00FF44C3"/>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sexprim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estionsexualit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meli.fr/sites/default/files/Documents/4028/document/contraception-urgence_assurance-maladie.pdf" TargetMode="External"/><Relationship Id="rId4" Type="http://schemas.microsoft.com/office/2007/relationships/stylesWithEffects" Target="stylesWithEffects.xml"/><Relationship Id="rId9" Type="http://schemas.openxmlformats.org/officeDocument/2006/relationships/hyperlink" Target="https://www.onsexprim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as-sante.fr" TargetMode="External"/><Relationship Id="rId2" Type="http://schemas.openxmlformats.org/officeDocument/2006/relationships/hyperlink" Target="http://www.injep.fr" TargetMode="External"/><Relationship Id="rId1" Type="http://schemas.openxmlformats.org/officeDocument/2006/relationships/hyperlink" Target="http://www.hcsp.fr" TargetMode="External"/><Relationship Id="rId5" Type="http://schemas.openxmlformats.org/officeDocument/2006/relationships/hyperlink" Target="http://www.legifrance.fr" TargetMode="External"/><Relationship Id="rId4" Type="http://schemas.openxmlformats.org/officeDocument/2006/relationships/hyperlink" Target="http://www.ifo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B719-D1D3-4FF7-AA0C-DCF08889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5790</Words>
  <Characters>31849</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ORSINI FLORENCE (CNAM / Paris)</cp:lastModifiedBy>
  <cp:revision>6</cp:revision>
  <cp:lastPrinted>2021-10-28T13:31:00Z</cp:lastPrinted>
  <dcterms:created xsi:type="dcterms:W3CDTF">2022-01-24T13:41:00Z</dcterms:created>
  <dcterms:modified xsi:type="dcterms:W3CDTF">2022-03-15T11:41:00Z</dcterms:modified>
</cp:coreProperties>
</file>