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rsidR="00386A3B" w:rsidRDefault="00386A3B" w:rsidP="00826BA3">
      <w:pPr>
        <w:pStyle w:val="Default"/>
        <w:spacing w:line="264" w:lineRule="auto"/>
        <w:jc w:val="center"/>
        <w:rPr>
          <w:b/>
          <w:bCs/>
          <w:color w:val="000066"/>
          <w:sz w:val="22"/>
          <w:szCs w:val="22"/>
        </w:rPr>
      </w:pPr>
    </w:p>
    <w:p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r w:rsidR="00A66EBC">
        <w:rPr>
          <w:b/>
          <w:bCs/>
          <w:color w:val="000066"/>
        </w:rPr>
        <w:t xml:space="preserve">ORGANISES </w:t>
      </w:r>
      <w:r w:rsidR="00FE0DD1" w:rsidRPr="00F20EDA">
        <w:rPr>
          <w:b/>
          <w:bCs/>
          <w:color w:val="000066"/>
        </w:rPr>
        <w:t>DES CANCERS</w:t>
      </w:r>
    </w:p>
    <w:p w:rsidR="00711A83" w:rsidRPr="009E690F" w:rsidRDefault="00711A83" w:rsidP="00826BA3">
      <w:pPr>
        <w:pStyle w:val="Default"/>
        <w:jc w:val="center"/>
        <w:rPr>
          <w:b/>
          <w:bCs/>
          <w:color w:val="000066"/>
        </w:rPr>
      </w:pPr>
      <w:r w:rsidRPr="009E690F">
        <w:rPr>
          <w:b/>
          <w:bCs/>
          <w:color w:val="000066"/>
        </w:rPr>
        <w:t>Appel à projets 202</w:t>
      </w:r>
      <w:r w:rsidR="00D04CF9">
        <w:rPr>
          <w:b/>
          <w:bCs/>
          <w:color w:val="000066"/>
        </w:rPr>
        <w:t>3</w:t>
      </w:r>
      <w:r w:rsidRPr="009E690F">
        <w:rPr>
          <w:b/>
          <w:bCs/>
          <w:color w:val="000066"/>
        </w:rPr>
        <w:t xml:space="preserve"> mis en œuvre par l’Assurance Maladie</w:t>
      </w:r>
    </w:p>
    <w:p w:rsidR="00DA3292" w:rsidRDefault="00DA3292" w:rsidP="0022454D">
      <w:pPr>
        <w:pStyle w:val="Default"/>
        <w:rPr>
          <w:bCs/>
          <w:color w:val="auto"/>
          <w:sz w:val="22"/>
          <w:szCs w:val="22"/>
        </w:rPr>
      </w:pPr>
    </w:p>
    <w:p w:rsidR="007D5EA1" w:rsidRDefault="007D5EA1" w:rsidP="0022454D">
      <w:pPr>
        <w:pStyle w:val="Default"/>
        <w:rPr>
          <w:bCs/>
          <w:color w:val="auto"/>
          <w:sz w:val="22"/>
          <w:szCs w:val="22"/>
        </w:rPr>
      </w:pPr>
    </w:p>
    <w:p w:rsidR="007D5EA1" w:rsidRDefault="007D5EA1" w:rsidP="000F4059">
      <w:pPr>
        <w:spacing w:after="60"/>
        <w:jc w:val="both"/>
      </w:pPr>
    </w:p>
    <w:p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rsidR="009E690F" w:rsidRDefault="009E690F" w:rsidP="009E690F">
      <w:pPr>
        <w:pStyle w:val="Default"/>
        <w:jc w:val="both"/>
        <w:rPr>
          <w:bCs/>
          <w:color w:val="auto"/>
          <w:sz w:val="22"/>
          <w:szCs w:val="22"/>
        </w:rPr>
      </w:pPr>
      <w:r>
        <w:rPr>
          <w:bCs/>
          <w:color w:val="auto"/>
          <w:sz w:val="22"/>
          <w:szCs w:val="22"/>
        </w:rPr>
        <w:t>Les projets présentant les caractéristiques ci-dessous pourront être proposés dans le cadre de l’appel à projets FNPEIS 202</w:t>
      </w:r>
      <w:r w:rsidR="00F97462">
        <w:rPr>
          <w:bCs/>
          <w:color w:val="auto"/>
          <w:sz w:val="22"/>
          <w:szCs w:val="22"/>
        </w:rPr>
        <w:t>3</w:t>
      </w:r>
      <w:r>
        <w:rPr>
          <w:bCs/>
          <w:color w:val="auto"/>
          <w:sz w:val="22"/>
          <w:szCs w:val="22"/>
        </w:rPr>
        <w:t>.</w:t>
      </w:r>
    </w:p>
    <w:p w:rsidR="007D34B2" w:rsidRDefault="007D34B2" w:rsidP="009E690F">
      <w:pPr>
        <w:pStyle w:val="Default"/>
        <w:jc w:val="both"/>
        <w:rPr>
          <w:bCs/>
          <w:color w:val="auto"/>
          <w:sz w:val="22"/>
          <w:szCs w:val="22"/>
        </w:rPr>
      </w:pPr>
    </w:p>
    <w:p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ci–après.</w:t>
      </w:r>
    </w:p>
    <w:p w:rsidR="009E690F" w:rsidRDefault="009E690F" w:rsidP="009E690F">
      <w:pPr>
        <w:pStyle w:val="Default"/>
        <w:jc w:val="both"/>
        <w:rPr>
          <w:bCs/>
          <w:color w:val="auto"/>
          <w:sz w:val="22"/>
          <w:szCs w:val="22"/>
        </w:rPr>
      </w:pPr>
    </w:p>
    <w:p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rsidR="009E690F" w:rsidRDefault="009E690F" w:rsidP="000F4059">
      <w:pPr>
        <w:spacing w:after="60"/>
        <w:jc w:val="both"/>
      </w:pPr>
    </w:p>
    <w:p w:rsidR="009E690F" w:rsidRDefault="009E690F" w:rsidP="000F4059">
      <w:pPr>
        <w:spacing w:after="60"/>
        <w:jc w:val="both"/>
      </w:pPr>
    </w:p>
    <w:p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1"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1"/>
    </w:p>
    <w:p w:rsidR="00A83AD8" w:rsidRPr="007C6715" w:rsidRDefault="00A83AD8" w:rsidP="00870888">
      <w:pPr>
        <w:pStyle w:val="Style1"/>
        <w:contextualSpacing/>
        <w:rPr>
          <w:sz w:val="22"/>
          <w:szCs w:val="22"/>
          <w:u w:val="single"/>
        </w:rPr>
      </w:pPr>
      <w:bookmarkStart w:id="2" w:name="_Toc532909383"/>
      <w:r w:rsidRPr="007C6715">
        <w:rPr>
          <w:sz w:val="22"/>
          <w:szCs w:val="22"/>
          <w:u w:val="single"/>
        </w:rPr>
        <w:t>Contexte</w:t>
      </w:r>
      <w:bookmarkEnd w:id="2"/>
      <w:r w:rsidRPr="007C6715">
        <w:rPr>
          <w:sz w:val="22"/>
          <w:szCs w:val="22"/>
          <w:u w:val="single"/>
        </w:rPr>
        <w:t xml:space="preserve"> </w:t>
      </w:r>
    </w:p>
    <w:p w:rsidR="00A2431E" w:rsidRPr="00471426" w:rsidRDefault="00A2431E" w:rsidP="00FE0DD1">
      <w:pPr>
        <w:spacing w:after="0" w:line="240" w:lineRule="auto"/>
        <w:jc w:val="both"/>
      </w:pPr>
    </w:p>
    <w:p w:rsidR="00471426" w:rsidRPr="001868EB" w:rsidRDefault="00471426" w:rsidP="002B0277">
      <w:pPr>
        <w:tabs>
          <w:tab w:val="left" w:pos="3969"/>
        </w:tabs>
        <w:spacing w:after="0"/>
        <w:jc w:val="both"/>
        <w:outlineLvl w:val="0"/>
        <w:rPr>
          <w:b/>
        </w:rPr>
      </w:pPr>
      <w:r w:rsidRPr="001868EB">
        <w:rPr>
          <w:b/>
        </w:rPr>
        <w:t>Du fait de la reprise des invitations par l’Assurance Maladie à compter de 2024, l’année 2023 est une année de transition</w:t>
      </w:r>
      <w:r w:rsidR="002B0277">
        <w:rPr>
          <w:b/>
        </w:rPr>
        <w:t xml:space="preserve">, les missions des acteurs (Assurance Maladie, </w:t>
      </w:r>
      <w:r w:rsidR="002B0277" w:rsidRPr="002B0277">
        <w:rPr>
          <w:b/>
        </w:rPr>
        <w:t>Centres Régionaux de Coordination des Dépistages des Cancers</w:t>
      </w:r>
      <w:r w:rsidR="002B0277">
        <w:rPr>
          <w:b/>
        </w:rPr>
        <w:t>)</w:t>
      </w:r>
      <w:r w:rsidR="002B0277" w:rsidRPr="002B0277">
        <w:rPr>
          <w:b/>
        </w:rPr>
        <w:t xml:space="preserve"> </w:t>
      </w:r>
      <w:r w:rsidR="002B0277">
        <w:rPr>
          <w:b/>
        </w:rPr>
        <w:t>étant amenées à évoluer à son issue.</w:t>
      </w:r>
    </w:p>
    <w:p w:rsidR="007E3FF2" w:rsidRPr="00471426" w:rsidRDefault="007E3FF2" w:rsidP="00471426">
      <w:pPr>
        <w:spacing w:after="0" w:line="240" w:lineRule="auto"/>
        <w:jc w:val="both"/>
      </w:pPr>
    </w:p>
    <w:p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 xml:space="preserve">74 ans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colorectal pour les hommes et l</w:t>
      </w:r>
      <w:r w:rsidR="008323C0" w:rsidRPr="00F20EDA">
        <w:t>es femmes de 50</w:t>
      </w:r>
      <w:r w:rsidR="000F4059" w:rsidRPr="00F20EDA">
        <w:t xml:space="preserve"> à </w:t>
      </w:r>
      <w:r w:rsidR="008323C0" w:rsidRPr="00F20EDA">
        <w:t>74 ans</w:t>
      </w:r>
      <w:r w:rsidR="00091FC7" w:rsidRPr="00F20EDA">
        <w:t xml:space="preserve"> (DOCCR)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ol de l’Utérus</w:t>
      </w:r>
      <w:r w:rsidR="00153623" w:rsidRPr="00F20EDA">
        <w:t xml:space="preserve"> (DOCCU)</w:t>
      </w:r>
      <w:r w:rsidR="00A538DC" w:rsidRPr="00F20EDA">
        <w:t xml:space="preserve"> </w:t>
      </w:r>
      <w:r w:rsidR="008323C0" w:rsidRPr="00F20EDA">
        <w:t xml:space="preserve">pour </w:t>
      </w:r>
      <w:r w:rsidR="00F10349" w:rsidRPr="00F20EDA">
        <w:t>les femmes de 25</w:t>
      </w:r>
      <w:r w:rsidR="000F4059" w:rsidRPr="00F20EDA">
        <w:t xml:space="preserve"> à </w:t>
      </w:r>
      <w:r w:rsidR="00F10349" w:rsidRPr="00F20EDA">
        <w:t>65 ans inclus.</w:t>
      </w:r>
    </w:p>
    <w:p w:rsidR="00C24E74" w:rsidRPr="00F20EDA" w:rsidRDefault="00C24E74" w:rsidP="00FE0DD1">
      <w:pPr>
        <w:spacing w:after="0" w:line="240" w:lineRule="auto"/>
        <w:jc w:val="both"/>
      </w:pPr>
    </w:p>
    <w:p w:rsidR="00624DF1"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ladie participe à ces campagnes nationales de dépistage</w:t>
      </w:r>
      <w:r w:rsidR="000F4059" w:rsidRPr="00F20EDA">
        <w:t xml:space="preserve"> par </w:t>
      </w:r>
      <w:r w:rsidR="00A538DC" w:rsidRPr="00F20EDA">
        <w:t xml:space="preserve">la mise à disposition des fichiers des personnes éligibles, par </w:t>
      </w:r>
      <w:r w:rsidR="000F4059" w:rsidRPr="00F20EDA">
        <w:t>le financement des C</w:t>
      </w:r>
      <w:r w:rsidR="00F10349" w:rsidRPr="00F20EDA">
        <w:t>entres</w:t>
      </w:r>
      <w:r w:rsidR="000F4059" w:rsidRPr="00F20EDA">
        <w:t xml:space="preserve"> Régionaux de Coordination des Dépistages des C</w:t>
      </w:r>
      <w:r w:rsidRPr="00F20EDA">
        <w:t xml:space="preserve">ancers </w:t>
      </w:r>
      <w:r w:rsidR="000F4059" w:rsidRPr="00F20EDA">
        <w:t xml:space="preserve">(CRCDC) </w:t>
      </w:r>
      <w:r w:rsidRPr="00F20EDA">
        <w:t xml:space="preserve">et </w:t>
      </w:r>
      <w:r w:rsidR="00A538DC" w:rsidRPr="00F20EDA">
        <w:t xml:space="preserve">par </w:t>
      </w:r>
      <w:r w:rsidRPr="00F20EDA">
        <w:t xml:space="preserve">la prise en charge à 100% des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p>
    <w:p w:rsidR="00FC1025" w:rsidRPr="00F20EDA" w:rsidRDefault="00FC1025" w:rsidP="00FE0DD1">
      <w:pPr>
        <w:spacing w:after="0" w:line="240" w:lineRule="auto"/>
        <w:jc w:val="both"/>
      </w:pPr>
    </w:p>
    <w:p w:rsidR="00624DF1" w:rsidRPr="00F20EDA" w:rsidRDefault="004D5A4E" w:rsidP="00FE0DD1">
      <w:pPr>
        <w:spacing w:after="0" w:line="240" w:lineRule="auto"/>
        <w:jc w:val="both"/>
      </w:pPr>
      <w:r>
        <w:t>Malgré les campagnes de communication de l</w:t>
      </w:r>
      <w:r w:rsidR="006A017E">
        <w:t>’</w:t>
      </w:r>
      <w:r w:rsidR="007D34B2">
        <w:t>INC</w:t>
      </w:r>
      <w:r w:rsidR="006A017E">
        <w:t>a, l</w:t>
      </w:r>
      <w:r>
        <w:t>es actions des CRCDC</w:t>
      </w:r>
      <w:r w:rsidR="007D34B2">
        <w:t>,</w:t>
      </w:r>
      <w:r>
        <w:t xml:space="preserve"> </w:t>
      </w:r>
      <w:r w:rsidR="007D34B2">
        <w:t xml:space="preserve">et </w:t>
      </w:r>
      <w:r>
        <w:t>celles de l’A</w:t>
      </w:r>
      <w:r w:rsidR="007D34B2">
        <w:t xml:space="preserve">ssurance </w:t>
      </w:r>
      <w:r>
        <w:t>M</w:t>
      </w:r>
      <w:r w:rsidR="007D34B2">
        <w:t>aladie</w:t>
      </w:r>
      <w:r>
        <w:t xml:space="preserve">, </w:t>
      </w:r>
      <w:r w:rsidR="00376EE7">
        <w:t>nous</w:t>
      </w:r>
      <w:r w:rsidR="00C24A17" w:rsidRPr="00F20EDA">
        <w:t xml:space="preserve"> observ</w:t>
      </w:r>
      <w:r w:rsidR="00376EE7">
        <w:t>ons</w:t>
      </w:r>
      <w:r w:rsidR="00C24A17" w:rsidRPr="00F20EDA">
        <w:t xml:space="preserve"> des </w:t>
      </w:r>
      <w:r w:rsidR="004E2153" w:rsidRPr="00F20EDA">
        <w:t xml:space="preserve">taux de participation au dépistage pour ces cancers </w:t>
      </w:r>
      <w:r w:rsidR="004E2153">
        <w:t xml:space="preserve">inférieurs aux objectifs fixés. Par ailleurs, des </w:t>
      </w:r>
      <w:r w:rsidR="00C24A17" w:rsidRPr="00F20EDA">
        <w:t>disparités</w:t>
      </w:r>
      <w:r w:rsidR="00F52A15" w:rsidRPr="00F20EDA">
        <w:t xml:space="preserve"> </w:t>
      </w:r>
      <w:r w:rsidR="004E2153">
        <w:t>sur le territoire national ont été constatées</w:t>
      </w:r>
      <w:r w:rsidR="00A400B6">
        <w:t>.</w:t>
      </w:r>
      <w:r w:rsidR="004E2153">
        <w:t xml:space="preserve"> </w:t>
      </w:r>
      <w:r w:rsidR="004C425F" w:rsidRPr="00F20EDA">
        <w:t xml:space="preserve">Celles-ci peuvent être liées à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à des </w:t>
      </w:r>
      <w:r w:rsidR="002F3F1C" w:rsidRPr="00F20EDA">
        <w:t>inégalités en termes de densité médicale et d’offre de soins.</w:t>
      </w:r>
    </w:p>
    <w:p w:rsidR="00C24E74" w:rsidRPr="00F20EDA" w:rsidRDefault="00C24E74" w:rsidP="00FE0DD1">
      <w:pPr>
        <w:spacing w:after="0" w:line="240" w:lineRule="auto"/>
        <w:jc w:val="both"/>
      </w:pPr>
    </w:p>
    <w:p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w:t>
      </w:r>
      <w:r w:rsidR="000314BF" w:rsidRPr="00472926">
        <w:rPr>
          <w:b/>
        </w:rPr>
        <w:lastRenderedPageBreak/>
        <w:t>la promotion</w:t>
      </w:r>
      <w:r w:rsidR="00F10349" w:rsidRPr="00472926">
        <w:rPr>
          <w:b/>
        </w:rPr>
        <w:t xml:space="preserve"> d’actions ciblées</w:t>
      </w:r>
      <w:r w:rsidR="00F10349" w:rsidRPr="00F20EDA">
        <w:t xml:space="preserve"> en appui des</w:t>
      </w:r>
      <w:r w:rsidR="000314BF" w:rsidRPr="00F20EDA">
        <w:t xml:space="preserve"> programmes nationaux de dépistage organisé des cancers</w:t>
      </w:r>
      <w:r w:rsidR="00A66EBC">
        <w:t>.</w:t>
      </w:r>
    </w:p>
    <w:p w:rsidR="00B11A90" w:rsidRPr="00F20EDA" w:rsidRDefault="00B11A90" w:rsidP="00FE0DD1">
      <w:pPr>
        <w:spacing w:after="0" w:line="240" w:lineRule="auto"/>
        <w:jc w:val="both"/>
      </w:pPr>
    </w:p>
    <w:p w:rsidR="00031FAA" w:rsidRDefault="00031FAA" w:rsidP="00FE0DD1">
      <w:pPr>
        <w:spacing w:after="0" w:line="240" w:lineRule="auto"/>
        <w:jc w:val="both"/>
      </w:pPr>
      <w:r w:rsidRPr="00F20EDA">
        <w:t>Pour</w:t>
      </w:r>
      <w:r w:rsidR="00532D37" w:rsidRPr="00F20EDA">
        <w:t xml:space="preserve"> rappel</w:t>
      </w:r>
      <w:r w:rsidR="007E3FF2">
        <w:t xml:space="preserve"> et jusqu’à fin 2023</w:t>
      </w:r>
      <w:r w:rsidR="00532D37" w:rsidRPr="00F20EDA">
        <w:t>, les Centres Régionaux d</w:t>
      </w:r>
      <w:r w:rsidRPr="00F20EDA">
        <w:t>e Coordination des Dépistages des Cancers ont pour mission de piloter</w:t>
      </w:r>
      <w:r w:rsidR="00BA3EDB" w:rsidRPr="00F20EDA">
        <w:t xml:space="preserve"> et coordonner</w:t>
      </w:r>
      <w:r w:rsidRPr="00F20EDA">
        <w:t>, à l’échelon régional, les programmes nationaux de dépistage</w:t>
      </w:r>
      <w:r w:rsidR="002F3F1C" w:rsidRPr="00F20EDA">
        <w:t>s</w:t>
      </w:r>
      <w:r w:rsidRPr="00F20EDA">
        <w:t xml:space="preserve"> organisé</w:t>
      </w:r>
      <w:r w:rsidR="002F3F1C" w:rsidRPr="00F20EDA">
        <w:t>s</w:t>
      </w:r>
      <w:r w:rsidRPr="00F20EDA">
        <w:t xml:space="preserve"> des cancers</w:t>
      </w:r>
      <w:r w:rsidR="00D4107F" w:rsidRPr="00F20EDA">
        <w:t xml:space="preserve">. </w:t>
      </w:r>
      <w:r w:rsidR="00A538DC" w:rsidRPr="00F20EDA">
        <w:t>Il</w:t>
      </w:r>
      <w:r w:rsidR="00D4107F" w:rsidRPr="00F20EDA">
        <w:t>s mènent</w:t>
      </w:r>
      <w:r w:rsidR="004C71CD">
        <w:t>,</w:t>
      </w:r>
      <w:r w:rsidR="00D4107F" w:rsidRPr="00F20EDA">
        <w:t xml:space="preserve"> en lien avec les partenaires et acteurs locaux</w:t>
      </w:r>
      <w:r w:rsidR="004C71CD">
        <w:t>,</w:t>
      </w:r>
      <w:r w:rsidR="00D4107F" w:rsidRPr="00F20EDA">
        <w:t xml:space="preserve"> les actions de lutte contre les inégalités d’accès et de recours au dépistage notamment dans la mobilisation des populations ciblées. Ils s’assurent de la construction des actions de communication, la coordination, la cohérence</w:t>
      </w:r>
      <w:r w:rsidR="004F626F">
        <w:t xml:space="preserve"> </w:t>
      </w:r>
      <w:r w:rsidR="00D4107F" w:rsidRPr="00F20EDA">
        <w:t>et l’homogénéité de l’in</w:t>
      </w:r>
      <w:r w:rsidR="00B11A90" w:rsidRPr="00F20EDA">
        <w:t>formation délivrée localement</w:t>
      </w:r>
      <w:r w:rsidR="00125057">
        <w:t xml:space="preserve"> (voir document en annexe)</w:t>
      </w:r>
      <w:r w:rsidR="00B11A90" w:rsidRPr="00F20EDA">
        <w:t>.</w:t>
      </w:r>
    </w:p>
    <w:p w:rsidR="00C41187" w:rsidRPr="00F20EDA" w:rsidRDefault="00C41187" w:rsidP="00A538DC">
      <w:pPr>
        <w:spacing w:after="0" w:line="240" w:lineRule="auto"/>
        <w:jc w:val="both"/>
      </w:pPr>
    </w:p>
    <w:p w:rsidR="001A1D37" w:rsidRPr="00F20EDA" w:rsidRDefault="00532D37" w:rsidP="00764415">
      <w:pPr>
        <w:spacing w:after="0" w:line="240" w:lineRule="auto"/>
        <w:jc w:val="both"/>
      </w:pPr>
      <w:r w:rsidRPr="00F20EDA">
        <w:t>En complément des actions des CRCDC</w:t>
      </w:r>
      <w:r w:rsidR="00B02CDE">
        <w:t xml:space="preserve"> et en lien avec eux</w:t>
      </w:r>
      <w:r w:rsidRPr="00F20EDA">
        <w:t>, l’</w:t>
      </w:r>
      <w:r w:rsidR="00153623" w:rsidRPr="00F20EDA">
        <w:t>A</w:t>
      </w:r>
      <w:r w:rsidRPr="00F20EDA">
        <w:t xml:space="preserve">ssurance </w:t>
      </w:r>
      <w:r w:rsidR="00153623" w:rsidRPr="00F20EDA">
        <w:t>M</w:t>
      </w:r>
      <w:r w:rsidRPr="00F20EDA">
        <w:t xml:space="preserve">aladie souhaite </w:t>
      </w:r>
      <w:r w:rsidR="001474E7">
        <w:t xml:space="preserve">donc </w:t>
      </w:r>
      <w:r w:rsidRPr="00F20EDA">
        <w:t>accompagner</w:t>
      </w:r>
      <w:r w:rsidR="00A538DC" w:rsidRPr="00F20EDA">
        <w:t xml:space="preserve"> et </w:t>
      </w:r>
      <w:r w:rsidR="00905E31" w:rsidRPr="00F20EDA">
        <w:t xml:space="preserve">renforcer les </w:t>
      </w:r>
      <w:r w:rsidR="00B02CDE">
        <w:t xml:space="preserve">actions de proximité </w:t>
      </w:r>
      <w:r w:rsidR="001474E7" w:rsidRPr="004F626F">
        <w:rPr>
          <w:b/>
        </w:rPr>
        <w:t xml:space="preserve">uniquement </w:t>
      </w:r>
      <w:r w:rsidR="00B02CDE" w:rsidRPr="004F626F">
        <w:rPr>
          <w:b/>
        </w:rPr>
        <w:t>dans une logiq</w:t>
      </w:r>
      <w:r w:rsidR="004C71CD" w:rsidRPr="004F626F">
        <w:rPr>
          <w:b/>
        </w:rPr>
        <w:t>ue d’universalisme proportionné</w:t>
      </w:r>
      <w:r w:rsidRPr="00F20EDA">
        <w:t xml:space="preserve">. </w:t>
      </w:r>
    </w:p>
    <w:p w:rsidR="00F20EDA" w:rsidRDefault="00F20EDA">
      <w:pPr>
        <w:spacing w:after="0" w:line="240" w:lineRule="auto"/>
        <w:rPr>
          <w:rFonts w:eastAsia="Times New Roman"/>
          <w:caps/>
          <w:color w:val="243F60"/>
          <w:spacing w:val="15"/>
          <w:u w:val="single"/>
          <w:lang w:eastAsia="fr-FR"/>
        </w:rPr>
      </w:pPr>
    </w:p>
    <w:p w:rsidR="00311073" w:rsidRPr="007C6715" w:rsidRDefault="00311073" w:rsidP="00311073">
      <w:pPr>
        <w:pStyle w:val="Style1"/>
        <w:contextualSpacing/>
        <w:rPr>
          <w:sz w:val="22"/>
          <w:szCs w:val="22"/>
          <w:u w:val="single"/>
        </w:rPr>
      </w:pPr>
      <w:r>
        <w:rPr>
          <w:sz w:val="22"/>
          <w:szCs w:val="22"/>
          <w:u w:val="single"/>
        </w:rPr>
        <w:t>Objectifs</w:t>
      </w:r>
    </w:p>
    <w:p w:rsidR="00905E31" w:rsidRDefault="00532D37" w:rsidP="00764415">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auprès des publics cibles</w:t>
      </w:r>
      <w:r w:rsidR="00905E31" w:rsidRPr="00F20EDA">
        <w:t xml:space="preserve"> à </w:t>
      </w:r>
      <w:r w:rsidR="004E2153">
        <w:t xml:space="preserve">mettre en </w:t>
      </w:r>
      <w:r w:rsidR="00C8576F">
        <w:t xml:space="preserve">œuvre </w:t>
      </w:r>
      <w:r w:rsidR="00905E31" w:rsidRPr="00F20EDA">
        <w:t>au niveau local dont les objectifs seront :</w:t>
      </w:r>
    </w:p>
    <w:p w:rsidR="008802DF" w:rsidRPr="00F20EDA" w:rsidRDefault="009D0F98" w:rsidP="00AD5F54">
      <w:pPr>
        <w:pStyle w:val="Paragraphedeliste"/>
        <w:numPr>
          <w:ilvl w:val="3"/>
          <w:numId w:val="7"/>
        </w:numPr>
        <w:spacing w:after="0" w:line="240" w:lineRule="auto"/>
        <w:ind w:left="426" w:firstLine="0"/>
        <w:jc w:val="both"/>
      </w:pPr>
      <w:r>
        <w:t>Augmenter la participation aux dépistage</w:t>
      </w:r>
      <w:r w:rsidR="00DB1EEE">
        <w:t>s</w:t>
      </w:r>
      <w:r>
        <w:t xml:space="preserve"> d</w:t>
      </w:r>
      <w:r w:rsidR="008802DF">
        <w:t>es publics cibles</w:t>
      </w:r>
      <w:r w:rsidR="00AD5F54">
        <w:t> ;</w:t>
      </w:r>
    </w:p>
    <w:p w:rsidR="00D31308" w:rsidRPr="00F20EDA" w:rsidRDefault="00D31308" w:rsidP="00AD5F54">
      <w:pPr>
        <w:numPr>
          <w:ilvl w:val="0"/>
          <w:numId w:val="7"/>
        </w:numPr>
        <w:spacing w:before="60" w:after="0" w:line="240" w:lineRule="auto"/>
        <w:ind w:left="426" w:firstLine="0"/>
        <w:jc w:val="both"/>
      </w:pPr>
      <w:r w:rsidRPr="00F20EDA">
        <w:t xml:space="preserve">Permettre la compréhension des informations sur l’intérêt du dépistage de </w:t>
      </w:r>
      <w:r w:rsidR="001A1D37" w:rsidRPr="00F20EDA">
        <w:t>c</w:t>
      </w:r>
      <w:r w:rsidRPr="00F20EDA">
        <w:t>es cancers ;</w:t>
      </w:r>
    </w:p>
    <w:p w:rsidR="00D31308" w:rsidRPr="00F20EDA" w:rsidRDefault="00D31308" w:rsidP="00AD5F54">
      <w:pPr>
        <w:numPr>
          <w:ilvl w:val="0"/>
          <w:numId w:val="7"/>
        </w:numPr>
        <w:spacing w:before="60" w:after="0" w:line="240" w:lineRule="auto"/>
        <w:ind w:left="426" w:firstLine="0"/>
        <w:jc w:val="both"/>
      </w:pPr>
      <w:r w:rsidRPr="00F20EDA">
        <w:t xml:space="preserve">Aider à identifier les différents acteurs du dépistage organisé sur le territoire en informant notamment </w:t>
      </w:r>
      <w:r w:rsidR="00C400D0" w:rsidRPr="00F20EDA">
        <w:t xml:space="preserve">la population des </w:t>
      </w:r>
      <w:r w:rsidRPr="00F20EDA">
        <w:t>professionnels de santé réalisant les actes de dé</w:t>
      </w:r>
      <w:r w:rsidR="00C400D0" w:rsidRPr="00F20EDA">
        <w:t>pistage</w:t>
      </w:r>
      <w:r w:rsidRPr="00F20EDA">
        <w:t> ;</w:t>
      </w:r>
    </w:p>
    <w:p w:rsidR="008D7225" w:rsidRPr="00F20EDA" w:rsidRDefault="005D127D" w:rsidP="00AD5F54">
      <w:pPr>
        <w:numPr>
          <w:ilvl w:val="0"/>
          <w:numId w:val="7"/>
        </w:numPr>
        <w:spacing w:before="60" w:after="0" w:line="240" w:lineRule="auto"/>
        <w:ind w:left="426" w:firstLine="0"/>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472926">
        <w:t>.</w:t>
      </w:r>
    </w:p>
    <w:p w:rsidR="008323C0" w:rsidRDefault="008323C0" w:rsidP="00AD5F54">
      <w:pPr>
        <w:spacing w:after="0" w:line="240" w:lineRule="auto"/>
        <w:ind w:left="426" w:hanging="426"/>
        <w:rPr>
          <w:sz w:val="24"/>
          <w:szCs w:val="24"/>
        </w:rPr>
      </w:pPr>
    </w:p>
    <w:p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3" w:name="_Toc532909384"/>
      <w:r w:rsidRPr="00F20EDA">
        <w:rPr>
          <w:i w:val="0"/>
          <w:color w:val="1F497D" w:themeColor="text2"/>
          <w:sz w:val="24"/>
        </w:rPr>
        <w:t xml:space="preserve">LE CHAMP DES </w:t>
      </w:r>
      <w:r w:rsidR="002B4B88" w:rsidRPr="00F20EDA">
        <w:rPr>
          <w:i w:val="0"/>
          <w:color w:val="1F497D" w:themeColor="text2"/>
          <w:sz w:val="24"/>
        </w:rPr>
        <w:t>ACTIONS</w:t>
      </w:r>
      <w:bookmarkEnd w:id="3"/>
    </w:p>
    <w:p w:rsidR="00B21609" w:rsidRDefault="00B21609" w:rsidP="00F10349">
      <w:pPr>
        <w:pStyle w:val="Default"/>
        <w:jc w:val="both"/>
        <w:rPr>
          <w:sz w:val="22"/>
          <w:szCs w:val="22"/>
          <w:u w:val="single"/>
        </w:rPr>
      </w:pPr>
    </w:p>
    <w:p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AF5687" w:rsidRPr="00F20EDA">
        <w:rPr>
          <w:sz w:val="22"/>
          <w:szCs w:val="22"/>
        </w:rPr>
        <w:t xml:space="preserve">. </w:t>
      </w:r>
    </w:p>
    <w:p w:rsidR="00B43A73" w:rsidRDefault="00B43A73" w:rsidP="00F20EDA">
      <w:pPr>
        <w:pStyle w:val="Default"/>
        <w:jc w:val="both"/>
        <w:rPr>
          <w:sz w:val="22"/>
          <w:szCs w:val="22"/>
        </w:rPr>
      </w:pPr>
    </w:p>
    <w:p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 préalablement à la rédaction de son projet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 de permettre aux personnes concernées de faire un choix éclairé.</w:t>
      </w:r>
    </w:p>
    <w:p w:rsidR="003363A0" w:rsidRPr="00F20EDA" w:rsidRDefault="003363A0" w:rsidP="00F20EDA">
      <w:pPr>
        <w:pStyle w:val="Default"/>
        <w:jc w:val="both"/>
        <w:rPr>
          <w:sz w:val="22"/>
          <w:szCs w:val="22"/>
        </w:rPr>
      </w:pPr>
    </w:p>
    <w:p w:rsidR="00961939" w:rsidRPr="00F20EDA"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C8576F" w:rsidRPr="00F20EDA">
        <w:rPr>
          <w:sz w:val="22"/>
          <w:szCs w:val="22"/>
        </w:rPr>
        <w:t xml:space="preserve"> </w:t>
      </w:r>
      <w:r w:rsidR="0052602B" w:rsidRPr="00F20EDA">
        <w:rPr>
          <w:sz w:val="22"/>
          <w:szCs w:val="22"/>
        </w:rPr>
        <w:t xml:space="preserve">dépistage </w:t>
      </w:r>
      <w:r w:rsidR="001474E7">
        <w:rPr>
          <w:sz w:val="22"/>
          <w:szCs w:val="22"/>
        </w:rPr>
        <w:t xml:space="preserve">organisé </w:t>
      </w:r>
      <w:r w:rsidR="0052602B" w:rsidRPr="00F20EDA">
        <w:rPr>
          <w:sz w:val="22"/>
          <w:szCs w:val="22"/>
        </w:rPr>
        <w:t xml:space="preserve">des </w:t>
      </w:r>
      <w:r w:rsidR="004B1487">
        <w:rPr>
          <w:sz w:val="22"/>
          <w:szCs w:val="22"/>
        </w:rPr>
        <w:t>cancers du sein, colorectal et du col de l’utérus.</w:t>
      </w:r>
    </w:p>
    <w:p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rsidR="0015243F" w:rsidRDefault="0015243F" w:rsidP="0015243F">
      <w:pPr>
        <w:pStyle w:val="Style1"/>
        <w:pBdr>
          <w:top w:val="none" w:sz="0" w:space="0" w:color="auto"/>
        </w:pBdr>
        <w:contextualSpacing/>
        <w:jc w:val="both"/>
        <w:rPr>
          <w:rFonts w:eastAsia="Calibri"/>
          <w:caps w:val="0"/>
          <w:color w:val="auto"/>
          <w:spacing w:val="0"/>
          <w:sz w:val="22"/>
          <w:szCs w:val="22"/>
        </w:rPr>
      </w:pPr>
    </w:p>
    <w:p w:rsidR="00B1443E" w:rsidRDefault="00D04CF9" w:rsidP="006A5D4D">
      <w:pPr>
        <w:pStyle w:val="Style1"/>
        <w:pBdr>
          <w:top w:val="none" w:sz="0" w:space="0" w:color="auto"/>
        </w:pBdr>
        <w:spacing w:before="6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Pr>
          <w:rFonts w:eastAsia="Calibri"/>
          <w:caps w:val="0"/>
          <w:color w:val="auto"/>
          <w:spacing w:val="0"/>
          <w:sz w:val="22"/>
          <w:szCs w:val="22"/>
        </w:rPr>
        <w:t xml:space="preserve">permettront </w:t>
      </w:r>
      <w:r w:rsidRPr="00125057">
        <w:rPr>
          <w:rFonts w:eastAsia="Calibri"/>
          <w:b/>
          <w:caps w:val="0"/>
          <w:color w:val="auto"/>
          <w:spacing w:val="0"/>
          <w:sz w:val="22"/>
          <w:szCs w:val="22"/>
        </w:rPr>
        <w:t xml:space="preserve">de contribuer à la réduction des inégalités sociales de santé et </w:t>
      </w:r>
      <w:r>
        <w:rPr>
          <w:rFonts w:eastAsia="Calibri"/>
          <w:b/>
          <w:caps w:val="0"/>
          <w:color w:val="auto"/>
          <w:spacing w:val="0"/>
          <w:sz w:val="22"/>
          <w:szCs w:val="22"/>
        </w:rPr>
        <w:t xml:space="preserve">s’adresseront </w:t>
      </w:r>
      <w:r w:rsidRPr="00125057">
        <w:rPr>
          <w:rFonts w:eastAsia="Calibri"/>
          <w:b/>
          <w:caps w:val="0"/>
          <w:color w:val="auto"/>
          <w:spacing w:val="0"/>
          <w:sz w:val="22"/>
          <w:szCs w:val="22"/>
        </w:rPr>
        <w:t xml:space="preserve"> </w:t>
      </w:r>
      <w:r>
        <w:rPr>
          <w:rFonts w:eastAsia="Calibri"/>
          <w:b/>
          <w:caps w:val="0"/>
          <w:color w:val="auto"/>
          <w:spacing w:val="0"/>
          <w:sz w:val="22"/>
          <w:szCs w:val="22"/>
        </w:rPr>
        <w:t>aux</w:t>
      </w:r>
      <w:r>
        <w:rPr>
          <w:rFonts w:eastAsia="Calibri"/>
          <w:caps w:val="0"/>
          <w:color w:val="auto"/>
          <w:spacing w:val="0"/>
          <w:sz w:val="22"/>
          <w:szCs w:val="22"/>
        </w:rPr>
        <w:t> personnes qui n’ont pas eu recours au dépistage organisé</w:t>
      </w:r>
      <w:r w:rsidRPr="0062200A">
        <w:rPr>
          <w:rFonts w:eastAsia="Calibri"/>
          <w:caps w:val="0"/>
          <w:color w:val="auto"/>
          <w:spacing w:val="0"/>
          <w:sz w:val="22"/>
          <w:szCs w:val="22"/>
        </w:rPr>
        <w:t xml:space="preserve"> </w:t>
      </w:r>
      <w:r>
        <w:rPr>
          <w:rFonts w:eastAsia="Calibri"/>
          <w:caps w:val="0"/>
          <w:color w:val="auto"/>
          <w:spacing w:val="0"/>
          <w:sz w:val="22"/>
          <w:szCs w:val="22"/>
        </w:rPr>
        <w:t xml:space="preserve">et qui sont </w:t>
      </w:r>
      <w:r w:rsidRPr="0015243F">
        <w:rPr>
          <w:rFonts w:eastAsia="Calibri"/>
          <w:caps w:val="0"/>
          <w:color w:val="auto"/>
          <w:spacing w:val="0"/>
          <w:sz w:val="22"/>
          <w:szCs w:val="22"/>
        </w:rPr>
        <w:t xml:space="preserve">socialement défavorisées (isolement géographique, social, faible accès au numérique, conditions de </w:t>
      </w:r>
      <w:r w:rsidRPr="0015243F">
        <w:rPr>
          <w:rFonts w:eastAsia="Calibri"/>
          <w:caps w:val="0"/>
          <w:color w:val="auto"/>
          <w:spacing w:val="0"/>
          <w:sz w:val="22"/>
          <w:szCs w:val="22"/>
        </w:rPr>
        <w:lastRenderedPageBreak/>
        <w:t>vie et d’hébergement collectif ou précaire, moindre recours aux soins, difficultés de compréhension et d’accès à l’information,…)</w:t>
      </w:r>
      <w:r>
        <w:rPr>
          <w:rFonts w:eastAsia="Calibri"/>
          <w:caps w:val="0"/>
          <w:color w:val="auto"/>
          <w:spacing w:val="0"/>
          <w:sz w:val="22"/>
          <w:szCs w:val="22"/>
        </w:rPr>
        <w:t>.</w:t>
      </w:r>
    </w:p>
    <w:p w:rsidR="007E3FF2" w:rsidRPr="0015243F" w:rsidRDefault="007E3FF2" w:rsidP="006A5D4D">
      <w:pPr>
        <w:pStyle w:val="Style1"/>
        <w:pBdr>
          <w:top w:val="none" w:sz="0" w:space="0" w:color="auto"/>
        </w:pBdr>
        <w:spacing w:before="60" w:after="0" w:afterAutospacing="0"/>
        <w:jc w:val="both"/>
        <w:rPr>
          <w:rFonts w:eastAsia="Calibri"/>
          <w:caps w:val="0"/>
          <w:color w:val="auto"/>
          <w:spacing w:val="0"/>
          <w:sz w:val="22"/>
          <w:szCs w:val="22"/>
        </w:rPr>
      </w:pPr>
    </w:p>
    <w:p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rsidR="00C24E74" w:rsidRPr="00F20EDA" w:rsidRDefault="00AE7CA0" w:rsidP="007C6715">
      <w:pPr>
        <w:spacing w:before="60" w:after="0" w:line="240" w:lineRule="auto"/>
        <w:jc w:val="both"/>
        <w:rPr>
          <w:lang w:eastAsia="fr-FR"/>
        </w:rPr>
      </w:pPr>
      <w:r w:rsidRPr="00F20EDA">
        <w:rPr>
          <w:lang w:eastAsia="fr-FR"/>
        </w:rPr>
        <w:t xml:space="preserve">Les femmes éligibles au DOCS sont les femmes </w:t>
      </w:r>
      <w:r w:rsidR="00E35DA0" w:rsidRPr="00F20EDA">
        <w:rPr>
          <w:lang w:eastAsia="fr-FR"/>
        </w:rPr>
        <w:t>âgées de 50 à 74 ans à risque moyen</w:t>
      </w:r>
      <w:r w:rsidR="00913E3A">
        <w:rPr>
          <w:lang w:eastAsia="fr-FR"/>
        </w:rPr>
        <w:t xml:space="preserve"> (Recommandation</w:t>
      </w:r>
      <w:r w:rsidR="00D63337">
        <w:rPr>
          <w:lang w:eastAsia="fr-FR"/>
        </w:rPr>
        <w:t>s</w:t>
      </w:r>
      <w:r w:rsidR="00913E3A">
        <w:rPr>
          <w:lang w:eastAsia="fr-FR"/>
        </w:rPr>
        <w:t xml:space="preserve"> de la HAS)</w:t>
      </w:r>
      <w:r w:rsidR="00E35DA0" w:rsidRPr="00F20EDA">
        <w:rPr>
          <w:lang w:eastAsia="fr-FR"/>
        </w:rPr>
        <w:t>, c’est-à-dire sans symptôme apparent ni facteur de risque particulier</w:t>
      </w:r>
      <w:r w:rsidR="004B005E" w:rsidRPr="00F20EDA">
        <w:rPr>
          <w:lang w:eastAsia="fr-FR"/>
        </w:rPr>
        <w:t xml:space="preserve"> en 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rsidR="00C24E74" w:rsidRPr="00F20EDA" w:rsidRDefault="00C24E74" w:rsidP="007C6715">
      <w:pPr>
        <w:spacing w:before="60" w:after="0" w:line="240" w:lineRule="auto"/>
        <w:jc w:val="both"/>
        <w:rPr>
          <w:lang w:eastAsia="fr-FR"/>
        </w:rPr>
      </w:pPr>
    </w:p>
    <w:p w:rsidR="001A1D37" w:rsidRPr="00F20EDA" w:rsidRDefault="001A1D37" w:rsidP="004F626F">
      <w:pPr>
        <w:numPr>
          <w:ilvl w:val="0"/>
          <w:numId w:val="10"/>
        </w:numPr>
        <w:spacing w:before="60" w:after="0" w:line="240" w:lineRule="auto"/>
        <w:jc w:val="both"/>
        <w:rPr>
          <w:b/>
          <w:lang w:eastAsia="fr-FR"/>
        </w:rPr>
      </w:pPr>
      <w:r w:rsidRPr="00F20EDA">
        <w:rPr>
          <w:b/>
          <w:lang w:eastAsia="fr-FR"/>
        </w:rPr>
        <w:t xml:space="preserve">Dépistage Organisé du Cancer </w:t>
      </w:r>
      <w:r w:rsidR="00AE7CA0" w:rsidRPr="00F20EDA">
        <w:rPr>
          <w:b/>
          <w:lang w:eastAsia="fr-FR"/>
        </w:rPr>
        <w:t>Colorectal</w:t>
      </w:r>
    </w:p>
    <w:p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s personnes éligibles au DOCCR sont les</w:t>
      </w:r>
      <w:r w:rsidR="001923AD" w:rsidRPr="00F20EDA">
        <w:rPr>
          <w:lang w:eastAsia="fr-FR"/>
        </w:rPr>
        <w:t xml:space="preserve"> hommes et les femmes de 50 à 74 ans, asymptomatiques</w:t>
      </w:r>
      <w:r w:rsidRPr="00F20EDA">
        <w:rPr>
          <w:lang w:eastAsia="fr-FR"/>
        </w:rPr>
        <w:t>,</w:t>
      </w:r>
      <w:r w:rsidR="001923AD" w:rsidRPr="00F20EDA">
        <w:rPr>
          <w:lang w:eastAsia="fr-FR"/>
        </w:rPr>
        <w:t xml:space="preserve"> à risque moyen de cancer colorectal</w:t>
      </w:r>
      <w:r w:rsidR="00913E3A">
        <w:rPr>
          <w:lang w:eastAsia="fr-FR"/>
        </w:rPr>
        <w:t xml:space="preserve"> (Recommandation</w:t>
      </w:r>
      <w:r w:rsidR="00C8576F">
        <w:rPr>
          <w:lang w:eastAsia="fr-FR"/>
        </w:rPr>
        <w:t>s</w:t>
      </w:r>
      <w:r w:rsidR="00913E3A">
        <w:rPr>
          <w:lang w:eastAsia="fr-FR"/>
        </w:rPr>
        <w:t xml:space="preserve"> de la HAS)</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Elles </w:t>
      </w:r>
      <w:r w:rsidR="001923AD" w:rsidRPr="00F20EDA">
        <w:rPr>
          <w:lang w:eastAsia="fr-FR"/>
        </w:rPr>
        <w:t>sont invitées tous les deux ans à réaliser un test immunologique de dépistage</w:t>
      </w:r>
      <w:r w:rsidR="00122BFE" w:rsidRPr="00F20EDA">
        <w:rPr>
          <w:lang w:eastAsia="fr-FR"/>
        </w:rPr>
        <w:t>.</w:t>
      </w:r>
    </w:p>
    <w:p w:rsidR="001923AD" w:rsidRPr="00F20EDA" w:rsidRDefault="001923AD" w:rsidP="000F4059">
      <w:pPr>
        <w:spacing w:before="60" w:after="0" w:line="240" w:lineRule="auto"/>
        <w:jc w:val="both"/>
        <w:rPr>
          <w:lang w:eastAsia="fr-FR"/>
        </w:rPr>
      </w:pPr>
    </w:p>
    <w:p w:rsidR="00AE7CA0" w:rsidRPr="00F20EDA"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rsidR="004B1487" w:rsidRDefault="004B1487" w:rsidP="000972C1">
      <w:pPr>
        <w:spacing w:before="60" w:after="0" w:line="240" w:lineRule="auto"/>
        <w:jc w:val="both"/>
      </w:pPr>
      <w:r>
        <w:t>Pour le dépistage du cancer du col de l’utérus, la HAS recommande désormais une stratégie nationale de dépistage différente selon l’âge de la femme :</w:t>
      </w:r>
    </w:p>
    <w:p w:rsidR="004B1487" w:rsidRDefault="004B1487" w:rsidP="00590F66">
      <w:pPr>
        <w:pStyle w:val="Paragraphedeliste"/>
        <w:numPr>
          <w:ilvl w:val="0"/>
          <w:numId w:val="13"/>
        </w:numPr>
        <w:spacing w:before="60" w:after="0" w:line="240" w:lineRule="auto"/>
        <w:ind w:left="714" w:hanging="357"/>
        <w:jc w:val="both"/>
      </w:pPr>
      <w:r>
        <w:t>Entre 25 et 30 ans, la HAS recommande le maintien des modalités de dépistage du cancer du col de l’utérus. A savoir : la réalisation de deux frottis cervico-utérin</w:t>
      </w:r>
      <w:r w:rsidR="000972C1">
        <w:t>s</w:t>
      </w:r>
      <w:r>
        <w:t xml:space="preserve"> à un an d’intervalle puis trois ans après, si le résultat des premières cytologies sont normales.</w:t>
      </w:r>
    </w:p>
    <w:p w:rsidR="00764415" w:rsidRDefault="004B1487" w:rsidP="00590F66">
      <w:pPr>
        <w:pStyle w:val="Paragraphedeliste"/>
        <w:numPr>
          <w:ilvl w:val="0"/>
          <w:numId w:val="13"/>
        </w:numPr>
        <w:spacing w:before="60" w:after="0" w:line="240" w:lineRule="auto"/>
        <w:ind w:left="714" w:hanging="357"/>
        <w:jc w:val="both"/>
      </w:pPr>
      <w:r>
        <w:t xml:space="preserve">A partir de 30 ans, la HAS recommande désormais </w:t>
      </w:r>
      <w:r w:rsidR="000972C1">
        <w:t xml:space="preserve">un test HPV </w:t>
      </w:r>
      <w:r>
        <w:t>en première intention: celui-ci remplace l’examen cytologique en dépistage primaire du cancer du col de l’utérus</w:t>
      </w:r>
      <w:r w:rsidR="000972C1">
        <w:t>,</w:t>
      </w:r>
      <w:r>
        <w:t xml:space="preserve"> le rythme entre deux dépistages par test HPV est </w:t>
      </w:r>
      <w:r w:rsidR="000972C1">
        <w:t xml:space="preserve">alors </w:t>
      </w:r>
      <w:r>
        <w:t>de 5 ans.</w:t>
      </w:r>
    </w:p>
    <w:p w:rsidR="004B1487" w:rsidRPr="00F20EDA" w:rsidRDefault="004B1487" w:rsidP="006A5D4D">
      <w:pPr>
        <w:pStyle w:val="Paragraphedeliste"/>
        <w:spacing w:after="0" w:line="240" w:lineRule="auto"/>
        <w:ind w:left="720"/>
        <w:jc w:val="both"/>
      </w:pPr>
    </w:p>
    <w:p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125057">
        <w:rPr>
          <w:rFonts w:eastAsia="Calibri"/>
          <w:b/>
          <w:caps w:val="0"/>
          <w:color w:val="auto"/>
          <w:spacing w:val="0"/>
          <w:sz w:val="22"/>
          <w:szCs w:val="22"/>
        </w:rPr>
        <w:t xml:space="preserve">cibler </w:t>
      </w:r>
      <w:r>
        <w:rPr>
          <w:rFonts w:eastAsia="Calibri"/>
          <w:b/>
          <w:caps w:val="0"/>
          <w:color w:val="auto"/>
          <w:spacing w:val="0"/>
          <w:sz w:val="22"/>
          <w:szCs w:val="22"/>
        </w:rPr>
        <w:t xml:space="preserve">parmi les populations des programmes </w:t>
      </w:r>
      <w:r w:rsidR="00F97462">
        <w:rPr>
          <w:rFonts w:eastAsia="Calibri"/>
          <w:b/>
          <w:caps w:val="0"/>
          <w:color w:val="auto"/>
          <w:spacing w:val="0"/>
          <w:sz w:val="22"/>
          <w:szCs w:val="22"/>
        </w:rPr>
        <w:t>sus</w:t>
      </w:r>
      <w:r>
        <w:rPr>
          <w:rFonts w:eastAsia="Calibri"/>
          <w:b/>
          <w:caps w:val="0"/>
          <w:color w:val="auto"/>
          <w:spacing w:val="0"/>
          <w:sz w:val="22"/>
          <w:szCs w:val="22"/>
        </w:rPr>
        <w:t xml:space="preserve">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rsidR="00B1443E" w:rsidRDefault="00B1443E" w:rsidP="006A5D4D">
      <w:pPr>
        <w:pStyle w:val="Style1"/>
        <w:numPr>
          <w:ilvl w:val="0"/>
          <w:numId w:val="50"/>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(isolement géographique, social, faible accès au numérique, conditions de vie et d’hébergement collectif ou précaire, moindre recours aux soins, difficultés de compréhension et d’accès à l’information,…)</w:t>
      </w:r>
      <w:r>
        <w:rPr>
          <w:rFonts w:eastAsia="Calibri"/>
          <w:caps w:val="0"/>
          <w:color w:val="auto"/>
          <w:spacing w:val="0"/>
          <w:sz w:val="22"/>
          <w:szCs w:val="22"/>
        </w:rPr>
        <w:t xml:space="preserve"> dont :</w:t>
      </w:r>
    </w:p>
    <w:p w:rsidR="00B1443E" w:rsidRPr="00F56921" w:rsidRDefault="00B1443E" w:rsidP="00F56921">
      <w:pPr>
        <w:pStyle w:val="Default"/>
        <w:numPr>
          <w:ilvl w:val="0"/>
          <w:numId w:val="49"/>
        </w:numPr>
        <w:spacing w:before="60"/>
        <w:jc w:val="both"/>
        <w:rPr>
          <w:sz w:val="22"/>
          <w:szCs w:val="22"/>
        </w:rPr>
      </w:pPr>
      <w:r w:rsidRPr="00F56921">
        <w:rPr>
          <w:sz w:val="22"/>
          <w:szCs w:val="22"/>
        </w:rPr>
        <w:t>Les travailleuses pauvres en situation de vulnérabilité sociale,</w:t>
      </w:r>
    </w:p>
    <w:p w:rsidR="00B1443E" w:rsidRPr="00F20EDA" w:rsidRDefault="00B1443E" w:rsidP="006A5D4D">
      <w:pPr>
        <w:pStyle w:val="Default"/>
        <w:numPr>
          <w:ilvl w:val="0"/>
          <w:numId w:val="49"/>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rsidR="00B1443E" w:rsidRDefault="00B1443E" w:rsidP="006A5D4D">
      <w:pPr>
        <w:pStyle w:val="Default"/>
        <w:numPr>
          <w:ilvl w:val="0"/>
          <w:numId w:val="49"/>
        </w:numPr>
        <w:spacing w:before="60"/>
        <w:jc w:val="both"/>
        <w:rPr>
          <w:sz w:val="22"/>
          <w:szCs w:val="22"/>
        </w:rPr>
      </w:pPr>
      <w:r>
        <w:rPr>
          <w:sz w:val="22"/>
          <w:szCs w:val="22"/>
        </w:rPr>
        <w:t>Les personnes incarcérées</w:t>
      </w:r>
      <w:r w:rsidRPr="00F20EDA">
        <w:rPr>
          <w:sz w:val="22"/>
          <w:szCs w:val="22"/>
        </w:rPr>
        <w:t>,</w:t>
      </w:r>
    </w:p>
    <w:p w:rsidR="00D04CF9" w:rsidRPr="00D04CF9" w:rsidRDefault="00D04CF9" w:rsidP="00D04CF9">
      <w:pPr>
        <w:pStyle w:val="Default"/>
        <w:numPr>
          <w:ilvl w:val="0"/>
          <w:numId w:val="49"/>
        </w:numPr>
        <w:spacing w:before="60"/>
        <w:jc w:val="both"/>
        <w:rPr>
          <w:sz w:val="22"/>
          <w:szCs w:val="22"/>
        </w:rPr>
      </w:pPr>
      <w:r>
        <w:rPr>
          <w:sz w:val="22"/>
          <w:szCs w:val="22"/>
        </w:rPr>
        <w:t xml:space="preserve">Les usagers des </w:t>
      </w:r>
      <w:r w:rsidRPr="0058549E">
        <w:rPr>
          <w:sz w:val="22"/>
          <w:szCs w:val="22"/>
        </w:rPr>
        <w:t xml:space="preserve">centres </w:t>
      </w:r>
      <w:r>
        <w:rPr>
          <w:sz w:val="22"/>
          <w:szCs w:val="22"/>
        </w:rPr>
        <w:t xml:space="preserve">d’accueil, soins et orientation </w:t>
      </w:r>
      <w:r w:rsidRPr="0058549E">
        <w:rPr>
          <w:sz w:val="22"/>
          <w:szCs w:val="22"/>
        </w:rPr>
        <w:t>(CASO), ce</w:t>
      </w:r>
      <w:r>
        <w:rPr>
          <w:sz w:val="22"/>
          <w:szCs w:val="22"/>
        </w:rPr>
        <w:t xml:space="preserve">ntres d’accueil, orientation et accompagnement (CAOA) </w:t>
      </w:r>
      <w:r w:rsidRPr="0058549E">
        <w:rPr>
          <w:sz w:val="22"/>
          <w:szCs w:val="22"/>
        </w:rPr>
        <w:t>et</w:t>
      </w:r>
      <w:r>
        <w:rPr>
          <w:sz w:val="22"/>
          <w:szCs w:val="22"/>
        </w:rPr>
        <w:t xml:space="preserve"> les</w:t>
      </w:r>
      <w:r w:rsidRPr="0058549E">
        <w:rPr>
          <w:sz w:val="22"/>
          <w:szCs w:val="22"/>
        </w:rPr>
        <w:t xml:space="preserve"> programmes</w:t>
      </w:r>
      <w:r>
        <w:rPr>
          <w:sz w:val="22"/>
          <w:szCs w:val="22"/>
        </w:rPr>
        <w:t xml:space="preserve"> avec des travailleuses du sexe </w:t>
      </w:r>
      <w:r w:rsidRPr="0058549E">
        <w:rPr>
          <w:sz w:val="22"/>
          <w:szCs w:val="22"/>
        </w:rPr>
        <w:t>(TdS)</w:t>
      </w:r>
      <w:r>
        <w:rPr>
          <w:sz w:val="22"/>
          <w:szCs w:val="22"/>
        </w:rPr>
        <w:t> ;</w:t>
      </w:r>
      <w:r w:rsidRPr="0058549E">
        <w:rPr>
          <w:sz w:val="22"/>
          <w:szCs w:val="22"/>
        </w:rPr>
        <w:t xml:space="preserve"> </w:t>
      </w:r>
    </w:p>
    <w:p w:rsidR="00B1443E" w:rsidRPr="00C47E26" w:rsidRDefault="00B1443E" w:rsidP="006A5D4D">
      <w:pPr>
        <w:pStyle w:val="Default"/>
        <w:numPr>
          <w:ilvl w:val="0"/>
          <w:numId w:val="49"/>
        </w:numPr>
        <w:spacing w:before="60"/>
        <w:jc w:val="both"/>
        <w:rPr>
          <w:sz w:val="22"/>
          <w:szCs w:val="22"/>
        </w:rPr>
      </w:pPr>
      <w:r w:rsidRPr="00C47E26">
        <w:rPr>
          <w:sz w:val="22"/>
          <w:szCs w:val="22"/>
        </w:rPr>
        <w:t xml:space="preserve">Les personnes en situation de handicap et/ou en établissements médico-sociaux. </w:t>
      </w:r>
    </w:p>
    <w:p w:rsidR="00B1443E" w:rsidRPr="00FF68B5" w:rsidRDefault="00B1443E"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sidRPr="00FF68B5">
        <w:rPr>
          <w:rFonts w:eastAsia="Calibri" w:cs="Calibri"/>
          <w:caps w:val="0"/>
          <w:color w:val="000000"/>
          <w:spacing w:val="0"/>
          <w:sz w:val="22"/>
          <w:szCs w:val="22"/>
        </w:rPr>
        <w:t>Personnes résidant dans des territoires à faible participation ;</w:t>
      </w:r>
    </w:p>
    <w:p w:rsidR="009E4202" w:rsidRDefault="00FF68B5"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00F56921" w:rsidRPr="00FF68B5">
        <w:rPr>
          <w:rFonts w:eastAsia="Calibri" w:cs="Calibri"/>
          <w:caps w:val="0"/>
          <w:color w:val="000000"/>
          <w:spacing w:val="0"/>
          <w:sz w:val="22"/>
          <w:szCs w:val="22"/>
        </w:rPr>
        <w:t>abitants des zones urbaines sensibles</w:t>
      </w:r>
      <w:r w:rsidR="009E4202">
        <w:rPr>
          <w:rFonts w:eastAsia="Calibri" w:cs="Calibri"/>
          <w:caps w:val="0"/>
          <w:color w:val="000000"/>
          <w:spacing w:val="0"/>
          <w:sz w:val="22"/>
          <w:szCs w:val="22"/>
        </w:rPr>
        <w:t> ;</w:t>
      </w:r>
    </w:p>
    <w:p w:rsidR="00F56921" w:rsidRPr="00FF68B5" w:rsidRDefault="009E4202"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Pr="00FF68B5">
        <w:rPr>
          <w:rFonts w:eastAsia="Calibri" w:cs="Calibri"/>
          <w:caps w:val="0"/>
          <w:color w:val="000000"/>
          <w:spacing w:val="0"/>
          <w:sz w:val="22"/>
          <w:szCs w:val="22"/>
        </w:rPr>
        <w:t xml:space="preserve">abitants des </w:t>
      </w:r>
      <w:r w:rsidR="00F56921" w:rsidRPr="00FF68B5">
        <w:rPr>
          <w:rFonts w:eastAsia="Calibri" w:cs="Calibri"/>
          <w:caps w:val="0"/>
          <w:color w:val="000000"/>
          <w:spacing w:val="0"/>
          <w:sz w:val="22"/>
          <w:szCs w:val="22"/>
        </w:rPr>
        <w:t>départements d’outre-mer</w:t>
      </w:r>
      <w:r w:rsidR="00FF68B5">
        <w:rPr>
          <w:rFonts w:eastAsia="Calibri" w:cs="Calibri"/>
          <w:caps w:val="0"/>
          <w:color w:val="000000"/>
          <w:spacing w:val="0"/>
          <w:sz w:val="22"/>
          <w:szCs w:val="22"/>
        </w:rPr>
        <w:t> :</w:t>
      </w:r>
    </w:p>
    <w:p w:rsidR="00B1443E" w:rsidRDefault="00B1443E" w:rsidP="006A5D4D">
      <w:pPr>
        <w:pStyle w:val="Style1"/>
        <w:numPr>
          <w:ilvl w:val="0"/>
          <w:numId w:val="51"/>
        </w:numPr>
        <w:pBdr>
          <w:top w:val="none" w:sz="0" w:space="0" w:color="auto"/>
        </w:pBdr>
        <w:spacing w:before="0" w:after="0" w:afterAutospacing="0"/>
        <w:jc w:val="both"/>
        <w:rPr>
          <w:rFonts w:eastAsia="Calibri"/>
          <w:caps w:val="0"/>
          <w:color w:val="auto"/>
          <w:spacing w:val="0"/>
          <w:sz w:val="22"/>
          <w:szCs w:val="22"/>
        </w:rPr>
      </w:pPr>
      <w:r>
        <w:rPr>
          <w:rFonts w:eastAsia="Calibri"/>
          <w:caps w:val="0"/>
          <w:color w:val="auto"/>
          <w:spacing w:val="0"/>
          <w:sz w:val="22"/>
          <w:szCs w:val="22"/>
        </w:rPr>
        <w:t>T</w:t>
      </w:r>
      <w:r w:rsidRPr="00462789">
        <w:rPr>
          <w:rFonts w:eastAsia="Calibri"/>
          <w:caps w:val="0"/>
          <w:color w:val="auto"/>
          <w:spacing w:val="0"/>
          <w:sz w:val="22"/>
          <w:szCs w:val="22"/>
        </w:rPr>
        <w:t xml:space="preserve">ravailleurs indépendants dont </w:t>
      </w:r>
      <w:r>
        <w:rPr>
          <w:rFonts w:eastAsia="Calibri"/>
          <w:caps w:val="0"/>
          <w:color w:val="auto"/>
          <w:spacing w:val="0"/>
          <w:sz w:val="22"/>
          <w:szCs w:val="22"/>
        </w:rPr>
        <w:t>l’organisation de travail ne leur permet pas de participer dans des proportions similaires à la population générale.</w:t>
      </w:r>
    </w:p>
    <w:p w:rsidR="00B1443E" w:rsidRDefault="00B1443E" w:rsidP="00051A86">
      <w:pPr>
        <w:spacing w:after="0" w:line="240" w:lineRule="auto"/>
        <w:jc w:val="both"/>
      </w:pPr>
    </w:p>
    <w:p w:rsidR="00471362" w:rsidRDefault="00471362" w:rsidP="00051A86">
      <w:pPr>
        <w:spacing w:after="0" w:line="240" w:lineRule="auto"/>
        <w:jc w:val="both"/>
      </w:pPr>
    </w:p>
    <w:p w:rsidR="00471362" w:rsidRDefault="00471362" w:rsidP="00051A86">
      <w:pPr>
        <w:spacing w:after="0" w:line="240" w:lineRule="auto"/>
        <w:jc w:val="both"/>
      </w:pPr>
    </w:p>
    <w:p w:rsidR="00471362" w:rsidRDefault="007774C0" w:rsidP="00EC314E">
      <w:pPr>
        <w:pStyle w:val="Style1"/>
        <w:contextualSpacing/>
        <w:rPr>
          <w:rFonts w:eastAsia="Calibri"/>
          <w:caps w:val="0"/>
          <w:color w:val="auto"/>
          <w:spacing w:val="0"/>
          <w:sz w:val="22"/>
          <w:szCs w:val="22"/>
          <w:lang w:eastAsia="en-US"/>
        </w:rPr>
      </w:pPr>
      <w:r>
        <w:rPr>
          <w:sz w:val="22"/>
          <w:szCs w:val="22"/>
        </w:rPr>
        <w:lastRenderedPageBreak/>
        <w:t>TYPOLOGIE</w:t>
      </w:r>
      <w:r w:rsidRPr="00F20EDA">
        <w:rPr>
          <w:sz w:val="22"/>
          <w:szCs w:val="22"/>
        </w:rPr>
        <w:t xml:space="preserve"> </w:t>
      </w:r>
      <w:r w:rsidR="00742752" w:rsidRPr="00F20EDA">
        <w:rPr>
          <w:sz w:val="22"/>
          <w:szCs w:val="22"/>
        </w:rPr>
        <w:t>des actions</w:t>
      </w:r>
    </w:p>
    <w:p w:rsidR="00471362" w:rsidRDefault="00471362" w:rsidP="00EC314E">
      <w:pPr>
        <w:pStyle w:val="Style1"/>
        <w:contextualSpacing/>
        <w:rPr>
          <w:rFonts w:eastAsia="Calibri"/>
          <w:caps w:val="0"/>
          <w:color w:val="auto"/>
          <w:spacing w:val="0"/>
          <w:sz w:val="22"/>
          <w:szCs w:val="22"/>
          <w:lang w:eastAsia="en-US"/>
        </w:rPr>
      </w:pPr>
    </w:p>
    <w:p w:rsidR="00D04CF9" w:rsidRPr="00471362" w:rsidRDefault="00D04CF9" w:rsidP="00296F02">
      <w:pPr>
        <w:pStyle w:val="Style1"/>
        <w:pBdr>
          <w:top w:val="single" w:sz="4" w:space="1" w:color="auto"/>
          <w:left w:val="single" w:sz="4" w:space="4" w:color="auto"/>
          <w:bottom w:val="single" w:sz="4" w:space="1" w:color="auto"/>
          <w:right w:val="single" w:sz="4" w:space="4" w:color="auto"/>
        </w:pBdr>
        <w:contextualSpacing/>
        <w:jc w:val="both"/>
        <w:rPr>
          <w:rFonts w:eastAsia="Calibri"/>
          <w:b/>
          <w:caps w:val="0"/>
          <w:color w:val="auto"/>
          <w:spacing w:val="0"/>
          <w:sz w:val="22"/>
          <w:szCs w:val="22"/>
          <w:lang w:eastAsia="en-US"/>
        </w:rPr>
      </w:pPr>
      <w:r w:rsidRPr="00471362">
        <w:rPr>
          <w:rFonts w:eastAsia="Calibri"/>
          <w:b/>
          <w:caps w:val="0"/>
          <w:color w:val="auto"/>
          <w:spacing w:val="0"/>
          <w:sz w:val="22"/>
          <w:szCs w:val="22"/>
          <w:lang w:eastAsia="en-US"/>
        </w:rPr>
        <w:t xml:space="preserve">Seules les actions de proximité </w:t>
      </w:r>
      <w:r w:rsidR="00471362" w:rsidRPr="00471362">
        <w:rPr>
          <w:rFonts w:eastAsia="Calibri"/>
          <w:b/>
          <w:caps w:val="0"/>
          <w:color w:val="auto"/>
          <w:spacing w:val="0"/>
          <w:sz w:val="22"/>
          <w:szCs w:val="22"/>
          <w:lang w:eastAsia="en-US"/>
        </w:rPr>
        <w:t>accompagnées de la réalisation d’un dépistage</w:t>
      </w:r>
      <w:r w:rsidR="00296F02">
        <w:rPr>
          <w:rFonts w:eastAsia="Calibri"/>
          <w:b/>
          <w:caps w:val="0"/>
          <w:color w:val="auto"/>
          <w:spacing w:val="0"/>
          <w:sz w:val="22"/>
          <w:szCs w:val="22"/>
          <w:lang w:eastAsia="en-US"/>
        </w:rPr>
        <w:t xml:space="preserve"> ou d’aide à la réalisation du dépistage </w:t>
      </w:r>
      <w:r w:rsidR="006531AC">
        <w:rPr>
          <w:rFonts w:eastAsia="Calibri"/>
          <w:b/>
          <w:caps w:val="0"/>
          <w:color w:val="auto"/>
          <w:spacing w:val="0"/>
          <w:sz w:val="22"/>
          <w:szCs w:val="22"/>
          <w:lang w:eastAsia="en-US"/>
        </w:rPr>
        <w:t xml:space="preserve">(prise de rendez-vous, remise de kits </w:t>
      </w:r>
      <w:r w:rsidR="001B554D">
        <w:rPr>
          <w:rFonts w:eastAsia="Calibri"/>
          <w:b/>
          <w:caps w:val="0"/>
          <w:color w:val="auto"/>
          <w:spacing w:val="0"/>
          <w:sz w:val="22"/>
          <w:szCs w:val="22"/>
          <w:lang w:eastAsia="en-US"/>
        </w:rPr>
        <w:t>DOCCR ou APV</w:t>
      </w:r>
      <w:r w:rsidR="006531AC">
        <w:rPr>
          <w:rFonts w:eastAsia="Calibri"/>
          <w:b/>
          <w:caps w:val="0"/>
          <w:color w:val="auto"/>
          <w:spacing w:val="0"/>
          <w:sz w:val="22"/>
          <w:szCs w:val="22"/>
          <w:lang w:eastAsia="en-US"/>
        </w:rPr>
        <w:t xml:space="preserve">…) </w:t>
      </w:r>
      <w:r w:rsidRPr="00471362">
        <w:rPr>
          <w:rFonts w:eastAsia="Calibri"/>
          <w:b/>
          <w:caps w:val="0"/>
          <w:color w:val="auto"/>
          <w:spacing w:val="0"/>
          <w:sz w:val="22"/>
          <w:szCs w:val="22"/>
          <w:lang w:eastAsia="en-US"/>
        </w:rPr>
        <w:t xml:space="preserve">seront retenues. </w:t>
      </w:r>
    </w:p>
    <w:p w:rsidR="00471362" w:rsidRDefault="00471362" w:rsidP="00296F02">
      <w:pPr>
        <w:pBdr>
          <w:top w:val="single" w:sz="4" w:space="1" w:color="auto"/>
          <w:left w:val="single" w:sz="4" w:space="4" w:color="auto"/>
          <w:bottom w:val="single" w:sz="4" w:space="1" w:color="auto"/>
          <w:right w:val="single" w:sz="4" w:space="4" w:color="auto"/>
        </w:pBdr>
        <w:spacing w:after="0" w:line="240" w:lineRule="auto"/>
        <w:jc w:val="both"/>
      </w:pPr>
      <w:r>
        <w:t xml:space="preserve">Ces actions </w:t>
      </w:r>
      <w:r w:rsidRPr="009E4202">
        <w:t>p</w:t>
      </w:r>
      <w:r>
        <w:t xml:space="preserve">ourront </w:t>
      </w:r>
      <w:r w:rsidRPr="009E4202">
        <w:t>éventuellement être complétées d’actions d</w:t>
      </w:r>
      <w:r>
        <w:t xml:space="preserve">’information et/ou évènementielles </w:t>
      </w:r>
      <w:r w:rsidRPr="009E4202">
        <w:t>qui ne pourront cependant pas constituer le cœur du projet déposé.</w:t>
      </w:r>
    </w:p>
    <w:p w:rsidR="00471362" w:rsidRDefault="00471362" w:rsidP="00C028C9">
      <w:pPr>
        <w:spacing w:after="0" w:line="240" w:lineRule="auto"/>
        <w:jc w:val="both"/>
      </w:pPr>
    </w:p>
    <w:p w:rsidR="00D04CF9" w:rsidRPr="00C54E81" w:rsidRDefault="00D04CF9" w:rsidP="00C028C9">
      <w:pPr>
        <w:spacing w:after="0" w:line="240" w:lineRule="auto"/>
        <w:jc w:val="both"/>
        <w:rPr>
          <w:lang w:eastAsia="fr-FR"/>
        </w:rPr>
      </w:pPr>
      <w:r>
        <w:rPr>
          <w:lang w:eastAsia="fr-FR"/>
        </w:rPr>
        <w:t>Elles devront :</w:t>
      </w:r>
    </w:p>
    <w:p w:rsidR="00C028C9" w:rsidRPr="00C028C9" w:rsidRDefault="00C028C9" w:rsidP="00C028C9">
      <w:pPr>
        <w:numPr>
          <w:ilvl w:val="0"/>
          <w:numId w:val="46"/>
        </w:numPr>
        <w:autoSpaceDE w:val="0"/>
        <w:autoSpaceDN w:val="0"/>
        <w:adjustRightInd w:val="0"/>
        <w:spacing w:after="0" w:line="240" w:lineRule="auto"/>
        <w:jc w:val="both"/>
        <w:rPr>
          <w:rFonts w:cs="Calibri"/>
          <w:bCs/>
          <w:lang w:eastAsia="fr-FR"/>
        </w:rPr>
      </w:pPr>
      <w:r w:rsidRPr="00C028C9">
        <w:rPr>
          <w:rFonts w:cs="Calibri"/>
          <w:bCs/>
          <w:lang w:eastAsia="fr-FR"/>
        </w:rPr>
        <w:t>s’inscrire en cohérence et complémentarité avec les autres actions menées par</w:t>
      </w:r>
      <w:r w:rsidRPr="00C028C9">
        <w:rPr>
          <w:rFonts w:cs="Calibri"/>
          <w:lang w:eastAsia="fr-FR"/>
        </w:rPr>
        <w:t xml:space="preserve"> l’Assurance maladie au niveau national et les autres actions mises en œuvre au sein d’un territoire,</w:t>
      </w:r>
    </w:p>
    <w:p w:rsidR="00C028C9" w:rsidRPr="00C028C9" w:rsidRDefault="00C028C9" w:rsidP="00C028C9">
      <w:pPr>
        <w:numPr>
          <w:ilvl w:val="0"/>
          <w:numId w:val="46"/>
        </w:numPr>
        <w:autoSpaceDE w:val="0"/>
        <w:autoSpaceDN w:val="0"/>
        <w:adjustRightInd w:val="0"/>
        <w:spacing w:after="0" w:line="240" w:lineRule="auto"/>
        <w:jc w:val="both"/>
        <w:rPr>
          <w:rFonts w:cs="Calibri"/>
          <w:lang w:eastAsia="fr-FR"/>
        </w:rPr>
      </w:pPr>
      <w:r w:rsidRPr="00C028C9">
        <w:rPr>
          <w:rFonts w:cs="Calibri"/>
          <w:lang w:eastAsia="fr-FR"/>
        </w:rPr>
        <w:t xml:space="preserve">répondre à des besoins identifiés en lien avec les partenaires locaux, notamment les CRCDC et les priorités retenues en région, </w:t>
      </w:r>
    </w:p>
    <w:p w:rsidR="00C028C9" w:rsidRDefault="00C028C9" w:rsidP="00C028C9">
      <w:pPr>
        <w:pStyle w:val="Paragraphedeliste"/>
        <w:numPr>
          <w:ilvl w:val="0"/>
          <w:numId w:val="46"/>
        </w:numPr>
        <w:autoSpaceDE w:val="0"/>
        <w:autoSpaceDN w:val="0"/>
        <w:adjustRightInd w:val="0"/>
        <w:spacing w:after="0" w:line="240" w:lineRule="auto"/>
        <w:jc w:val="both"/>
        <w:rPr>
          <w:rFonts w:cs="Calibri"/>
          <w:lang w:eastAsia="fr-FR"/>
        </w:rPr>
      </w:pPr>
      <w:r w:rsidRPr="00C028C9">
        <w:rPr>
          <w:rFonts w:cs="Calibri"/>
          <w:lang w:eastAsia="fr-FR"/>
        </w:rPr>
        <w:t>s’appuyer sur les acteurs locaux, les collectivités locales et territoriales, notamment les communes, les associations et les professionnels de santé</w:t>
      </w:r>
      <w:r w:rsidR="0081244A">
        <w:rPr>
          <w:rFonts w:cs="Calibri"/>
          <w:lang w:eastAsia="fr-FR"/>
        </w:rPr>
        <w:t>,</w:t>
      </w:r>
      <w:r w:rsidR="0081244A" w:rsidRPr="00C028C9">
        <w:rPr>
          <w:rFonts w:cs="Calibri"/>
          <w:lang w:eastAsia="fr-FR"/>
        </w:rPr>
        <w:t xml:space="preserve"> </w:t>
      </w:r>
    </w:p>
    <w:p w:rsidR="0081244A" w:rsidRPr="00C028C9" w:rsidRDefault="0081244A" w:rsidP="00C028C9">
      <w:pPr>
        <w:pStyle w:val="Paragraphedeliste"/>
        <w:numPr>
          <w:ilvl w:val="0"/>
          <w:numId w:val="46"/>
        </w:numPr>
        <w:autoSpaceDE w:val="0"/>
        <w:autoSpaceDN w:val="0"/>
        <w:adjustRightInd w:val="0"/>
        <w:spacing w:after="0" w:line="240" w:lineRule="auto"/>
        <w:jc w:val="both"/>
        <w:rPr>
          <w:rFonts w:cs="Calibri"/>
          <w:lang w:eastAsia="fr-FR"/>
        </w:rPr>
      </w:pPr>
      <w:r>
        <w:rPr>
          <w:rFonts w:cs="Calibri"/>
          <w:lang w:eastAsia="fr-FR"/>
        </w:rPr>
        <w:t>inclure la p</w:t>
      </w:r>
      <w:r w:rsidRPr="00F20EDA">
        <w:rPr>
          <w:rFonts w:cs="Calibri"/>
          <w:lang w:eastAsia="fr-FR"/>
        </w:rPr>
        <w:t>résence de partenai</w:t>
      </w:r>
      <w:r>
        <w:rPr>
          <w:rFonts w:cs="Calibri"/>
          <w:lang w:eastAsia="fr-FR"/>
        </w:rPr>
        <w:t>res</w:t>
      </w:r>
      <w:r w:rsidRPr="00F20EDA">
        <w:rPr>
          <w:rFonts w:cs="Calibri"/>
          <w:lang w:eastAsia="fr-FR"/>
        </w:rPr>
        <w:t xml:space="preserve"> </w:t>
      </w:r>
      <w:r>
        <w:rPr>
          <w:rFonts w:cs="Calibri"/>
          <w:lang w:eastAsia="fr-FR"/>
        </w:rPr>
        <w:t>favorisant la</w:t>
      </w:r>
      <w:r w:rsidRPr="00F20EDA">
        <w:rPr>
          <w:rFonts w:cs="Calibri"/>
          <w:lang w:eastAsia="fr-FR"/>
        </w:rPr>
        <w:t xml:space="preserve"> mutualisation des ressources</w:t>
      </w:r>
      <w:r>
        <w:rPr>
          <w:rFonts w:cs="Calibri"/>
          <w:lang w:eastAsia="fr-FR"/>
        </w:rPr>
        <w:t>.</w:t>
      </w:r>
    </w:p>
    <w:p w:rsidR="00C028C9" w:rsidRPr="00C028C9" w:rsidRDefault="00C028C9" w:rsidP="00A67CA2">
      <w:pPr>
        <w:autoSpaceDE w:val="0"/>
        <w:autoSpaceDN w:val="0"/>
        <w:adjustRightInd w:val="0"/>
        <w:spacing w:after="34" w:line="240" w:lineRule="auto"/>
        <w:jc w:val="both"/>
        <w:rPr>
          <w:rFonts w:cs="Calibri"/>
          <w:lang w:eastAsia="fr-FR"/>
        </w:rPr>
      </w:pPr>
    </w:p>
    <w:p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A67CA2" w:rsidRPr="00055486">
        <w:rPr>
          <w:rFonts w:cs="Calibri"/>
          <w:b/>
          <w:color w:val="000000"/>
          <w:lang w:eastAsia="fr-FR"/>
        </w:rPr>
        <w:t>travailler sur les freins et les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rsidR="00120596" w:rsidRDefault="00120596" w:rsidP="00A67CA2">
      <w:pPr>
        <w:autoSpaceDE w:val="0"/>
        <w:autoSpaceDN w:val="0"/>
        <w:adjustRightInd w:val="0"/>
        <w:spacing w:after="34" w:line="240" w:lineRule="auto"/>
        <w:jc w:val="both"/>
        <w:rPr>
          <w:rFonts w:cs="Calibri"/>
          <w:color w:val="000000"/>
          <w:lang w:eastAsia="fr-FR"/>
        </w:rPr>
      </w:pPr>
    </w:p>
    <w:p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742752" w:rsidRPr="00F20EDA">
        <w:rPr>
          <w:rFonts w:cs="Calibri"/>
          <w:color w:val="000000"/>
          <w:lang w:eastAsia="fr-FR"/>
        </w:rPr>
        <w:t xml:space="preserve"> et </w:t>
      </w:r>
      <w:r w:rsidR="007327D2" w:rsidRPr="00F20EDA">
        <w:rPr>
          <w:rFonts w:cs="Calibri"/>
          <w:color w:val="000000"/>
          <w:lang w:eastAsia="fr-FR"/>
        </w:rPr>
        <w:t xml:space="preserve">le dépistage demeure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rsidR="00A67CA2" w:rsidRPr="00F20EDA" w:rsidRDefault="00A67CA2" w:rsidP="00A67CA2">
      <w:pPr>
        <w:autoSpaceDE w:val="0"/>
        <w:autoSpaceDN w:val="0"/>
        <w:adjustRightInd w:val="0"/>
        <w:spacing w:after="34" w:line="240" w:lineRule="auto"/>
        <w:jc w:val="both"/>
        <w:rPr>
          <w:rFonts w:cs="Calibri"/>
          <w:color w:val="000000"/>
          <w:lang w:eastAsia="fr-FR"/>
        </w:rPr>
      </w:pPr>
    </w:p>
    <w:p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 organisé</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00296F02">
        <w:rPr>
          <w:rFonts w:cs="Calibri"/>
          <w:color w:val="000000"/>
          <w:lang w:eastAsia="fr-FR"/>
        </w:rPr>
        <w:t xml:space="preserve">du territoire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0D4ABB" w:rsidRPr="000D4ABB">
        <w:rPr>
          <w:rFonts w:cs="Calibri"/>
          <w:color w:val="000000"/>
          <w:lang w:eastAsia="fr-FR"/>
        </w:rPr>
        <w:t xml:space="preserve">Dépistage Organisé du Cancer du Col de l’Utérus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ge, il est important d’inciter les femmes à réaliser leur frottis dans les délais recommandés par la HAS.</w:t>
      </w:r>
    </w:p>
    <w:p w:rsidR="001B554D" w:rsidRDefault="001B554D" w:rsidP="001823D9">
      <w:pPr>
        <w:autoSpaceDE w:val="0"/>
        <w:autoSpaceDN w:val="0"/>
        <w:adjustRightInd w:val="0"/>
        <w:spacing w:after="34" w:line="240" w:lineRule="auto"/>
        <w:jc w:val="both"/>
        <w:rPr>
          <w:rFonts w:cs="Calibri"/>
          <w:color w:val="000000"/>
          <w:lang w:eastAsia="fr-FR"/>
        </w:rPr>
      </w:pPr>
    </w:p>
    <w:p w:rsidR="001823D9" w:rsidRDefault="001823D9" w:rsidP="001823D9">
      <w:pPr>
        <w:tabs>
          <w:tab w:val="left" w:pos="142"/>
        </w:tabs>
        <w:autoSpaceDE w:val="0"/>
        <w:autoSpaceDN w:val="0"/>
        <w:adjustRightInd w:val="0"/>
        <w:spacing w:before="60" w:after="0"/>
        <w:jc w:val="both"/>
        <w:rPr>
          <w:rFonts w:eastAsia="Times New Roman" w:cs="Calibri"/>
          <w:lang w:eastAsia="fr-FR"/>
        </w:rPr>
      </w:pPr>
      <w:r w:rsidRPr="00EC314E">
        <w:rPr>
          <w:rFonts w:eastAsia="Times New Roman" w:cs="Calibri"/>
          <w:lang w:eastAsia="fr-FR"/>
        </w:rPr>
        <w:t>Ces actions pourront impliquer des habitants du territoire (des pairs) ou des lieux de vie communautaires (associations, maisons de quartier, CCAS, centre social, etc.) et devront être menées en lien avec les CRCDC.</w:t>
      </w:r>
    </w:p>
    <w:p w:rsidR="001823D9" w:rsidRPr="001823D9" w:rsidRDefault="001823D9" w:rsidP="001823D9">
      <w:pPr>
        <w:autoSpaceDE w:val="0"/>
        <w:autoSpaceDN w:val="0"/>
        <w:adjustRightInd w:val="0"/>
        <w:spacing w:after="34" w:line="240" w:lineRule="auto"/>
        <w:jc w:val="both"/>
        <w:rPr>
          <w:rFonts w:cs="Calibri"/>
          <w:color w:val="000000"/>
          <w:lang w:eastAsia="fr-FR"/>
        </w:rPr>
      </w:pPr>
    </w:p>
    <w:p w:rsidR="001B554D" w:rsidRPr="001823D9" w:rsidRDefault="001B554D" w:rsidP="001823D9">
      <w:pPr>
        <w:tabs>
          <w:tab w:val="left" w:pos="142"/>
        </w:tabs>
        <w:autoSpaceDE w:val="0"/>
        <w:autoSpaceDN w:val="0"/>
        <w:adjustRightInd w:val="0"/>
        <w:spacing w:before="60" w:after="0"/>
        <w:jc w:val="both"/>
        <w:rPr>
          <w:rFonts w:cs="Calibri"/>
          <w:color w:val="000000"/>
          <w:lang w:eastAsia="fr-FR"/>
        </w:rPr>
      </w:pPr>
      <w:r w:rsidRPr="001823D9">
        <w:rPr>
          <w:rFonts w:cs="Calibri"/>
          <w:color w:val="000000"/>
          <w:lang w:eastAsia="fr-FR"/>
        </w:rPr>
        <w:t>A noter que des actions de promotion et de facilitation de la mise en œuvre du dépistage du cancer du col de l’utérus à travers le recours à l’autoprélèvement vaginal (APV) peuvent être proposées</w:t>
      </w:r>
      <w:r w:rsidR="005D23AE">
        <w:rPr>
          <w:rFonts w:cs="Calibri"/>
          <w:color w:val="000000"/>
          <w:lang w:eastAsia="fr-FR"/>
        </w:rPr>
        <w:t xml:space="preserve">, </w:t>
      </w:r>
      <w:r w:rsidRPr="001823D9">
        <w:rPr>
          <w:rFonts w:cs="Calibri"/>
          <w:color w:val="000000"/>
          <w:lang w:eastAsia="fr-FR"/>
        </w:rPr>
        <w:t>dans le respect d</w:t>
      </w:r>
      <w:r w:rsidR="00606C1E" w:rsidRPr="001823D9">
        <w:rPr>
          <w:rFonts w:cs="Calibri"/>
          <w:color w:val="000000"/>
          <w:lang w:eastAsia="fr-FR"/>
        </w:rPr>
        <w:t xml:space="preserve">u ciblage </w:t>
      </w:r>
      <w:r w:rsidR="001823D9">
        <w:rPr>
          <w:rFonts w:cs="Calibri"/>
          <w:color w:val="000000"/>
          <w:lang w:eastAsia="fr-FR"/>
        </w:rPr>
        <w:t>précisé</w:t>
      </w:r>
      <w:r w:rsidR="001823D9" w:rsidRPr="001823D9">
        <w:rPr>
          <w:rFonts w:cs="Calibri"/>
          <w:color w:val="000000"/>
          <w:lang w:eastAsia="fr-FR"/>
        </w:rPr>
        <w:t xml:space="preserve"> </w:t>
      </w:r>
      <w:r w:rsidRPr="001823D9">
        <w:rPr>
          <w:rFonts w:cs="Calibri"/>
          <w:color w:val="000000"/>
          <w:lang w:eastAsia="fr-FR"/>
        </w:rPr>
        <w:t>par l’INCA</w:t>
      </w:r>
      <w:r w:rsidR="00606C1E" w:rsidRPr="001823D9">
        <w:rPr>
          <w:rFonts w:cs="Calibri"/>
          <w:color w:val="000000"/>
          <w:lang w:eastAsia="fr-FR"/>
        </w:rPr>
        <w:t> :</w:t>
      </w:r>
      <w:r w:rsidR="005D23AE">
        <w:rPr>
          <w:rFonts w:cs="Calibri"/>
          <w:color w:val="000000"/>
          <w:lang w:eastAsia="fr-FR"/>
        </w:rPr>
        <w:t xml:space="preserve"> </w:t>
      </w:r>
      <w:r w:rsidR="005D23AE" w:rsidRPr="001823D9">
        <w:rPr>
          <w:rFonts w:cs="Calibri"/>
          <w:color w:val="000000"/>
          <w:lang w:eastAsia="fr-FR"/>
        </w:rPr>
        <w:t>approche d’aller vers</w:t>
      </w:r>
      <w:r w:rsidR="005D23AE">
        <w:rPr>
          <w:rFonts w:cs="Calibri"/>
          <w:color w:val="000000"/>
          <w:lang w:eastAsia="fr-FR"/>
        </w:rPr>
        <w:t xml:space="preserve"> </w:t>
      </w:r>
      <w:r w:rsidR="005D23AE" w:rsidRPr="001823D9">
        <w:rPr>
          <w:rFonts w:cs="Calibri"/>
          <w:color w:val="000000"/>
          <w:lang w:eastAsia="fr-FR"/>
        </w:rPr>
        <w:t xml:space="preserve">auprès des </w:t>
      </w:r>
      <w:r w:rsidR="005D23AE" w:rsidRPr="00084BE0">
        <w:rPr>
          <w:rFonts w:cs="Calibri"/>
          <w:b/>
          <w:color w:val="000000"/>
          <w:lang w:eastAsia="fr-FR"/>
        </w:rPr>
        <w:t>femmes insuffisamment dépistées</w:t>
      </w:r>
      <w:r w:rsidR="005D23AE">
        <w:rPr>
          <w:rFonts w:cs="Calibri"/>
          <w:color w:val="000000"/>
          <w:lang w:eastAsia="fr-FR"/>
        </w:rPr>
        <w:t>.</w:t>
      </w:r>
    </w:p>
    <w:p w:rsidR="00606C1E" w:rsidRPr="001823D9" w:rsidRDefault="00606C1E" w:rsidP="001823D9">
      <w:pPr>
        <w:autoSpaceDE w:val="0"/>
        <w:autoSpaceDN w:val="0"/>
        <w:adjustRightInd w:val="0"/>
        <w:spacing w:after="0" w:line="240" w:lineRule="auto"/>
        <w:jc w:val="both"/>
        <w:rPr>
          <w:rFonts w:cs="Calibri"/>
          <w:color w:val="000000"/>
          <w:lang w:eastAsia="fr-FR"/>
        </w:rPr>
      </w:pPr>
      <w:r w:rsidRPr="001823D9">
        <w:rPr>
          <w:rFonts w:cs="Calibri"/>
          <w:color w:val="000000"/>
          <w:lang w:eastAsia="fr-FR"/>
        </w:rPr>
        <w:t>Les critères d’éligibilité à respecter sont :</w:t>
      </w:r>
    </w:p>
    <w:p w:rsidR="00606C1E" w:rsidRPr="001823D9" w:rsidRDefault="00606C1E" w:rsidP="001823D9">
      <w:pPr>
        <w:pStyle w:val="Paragraphedeliste"/>
        <w:numPr>
          <w:ilvl w:val="0"/>
          <w:numId w:val="46"/>
        </w:numPr>
        <w:autoSpaceDE w:val="0"/>
        <w:autoSpaceDN w:val="0"/>
        <w:adjustRightInd w:val="0"/>
        <w:spacing w:after="0" w:line="240" w:lineRule="auto"/>
        <w:jc w:val="both"/>
        <w:rPr>
          <w:rFonts w:cs="Calibri"/>
          <w:color w:val="000000"/>
          <w:lang w:eastAsia="fr-FR"/>
        </w:rPr>
      </w:pPr>
      <w:r w:rsidRPr="001823D9">
        <w:rPr>
          <w:rFonts w:cs="Calibri"/>
          <w:color w:val="000000"/>
          <w:lang w:eastAsia="fr-FR"/>
        </w:rPr>
        <w:t>que lors de la demande</w:t>
      </w:r>
      <w:r w:rsidR="005D23AE">
        <w:rPr>
          <w:rFonts w:cs="Calibri"/>
          <w:color w:val="000000"/>
          <w:lang w:eastAsia="fr-FR"/>
        </w:rPr>
        <w:t>,</w:t>
      </w:r>
      <w:r w:rsidRPr="001823D9">
        <w:rPr>
          <w:rFonts w:cs="Calibri"/>
          <w:color w:val="000000"/>
          <w:lang w:eastAsia="fr-FR"/>
        </w:rPr>
        <w:t xml:space="preserve"> la femme soit </w:t>
      </w:r>
      <w:r w:rsidR="005D23AE">
        <w:rPr>
          <w:rFonts w:cs="Calibri"/>
          <w:color w:val="000000"/>
          <w:lang w:eastAsia="fr-FR"/>
        </w:rPr>
        <w:t xml:space="preserve"> âgée de </w:t>
      </w:r>
      <w:r w:rsidRPr="001823D9">
        <w:rPr>
          <w:rFonts w:cs="Calibri"/>
          <w:color w:val="000000"/>
          <w:lang w:eastAsia="fr-FR"/>
        </w:rPr>
        <w:t xml:space="preserve">30 ans </w:t>
      </w:r>
      <w:r w:rsidR="005D23AE">
        <w:rPr>
          <w:rFonts w:cs="Calibri"/>
          <w:color w:val="000000"/>
          <w:lang w:eastAsia="fr-FR"/>
        </w:rPr>
        <w:t>à</w:t>
      </w:r>
      <w:r w:rsidRPr="001823D9">
        <w:rPr>
          <w:rFonts w:cs="Calibri"/>
          <w:color w:val="000000"/>
          <w:lang w:eastAsia="fr-FR"/>
        </w:rPr>
        <w:t xml:space="preserve"> 65 ans et 364 jours) ; </w:t>
      </w:r>
    </w:p>
    <w:p w:rsidR="00606C1E" w:rsidRPr="001823D9" w:rsidRDefault="00606C1E" w:rsidP="001823D9">
      <w:pPr>
        <w:pStyle w:val="Paragraphedeliste"/>
        <w:numPr>
          <w:ilvl w:val="0"/>
          <w:numId w:val="46"/>
        </w:numPr>
        <w:autoSpaceDE w:val="0"/>
        <w:autoSpaceDN w:val="0"/>
        <w:adjustRightInd w:val="0"/>
        <w:spacing w:after="0" w:line="240" w:lineRule="auto"/>
        <w:jc w:val="both"/>
        <w:rPr>
          <w:rFonts w:cs="Calibri"/>
          <w:color w:val="000000"/>
          <w:lang w:eastAsia="fr-FR"/>
        </w:rPr>
      </w:pPr>
      <w:r w:rsidRPr="001823D9">
        <w:rPr>
          <w:rFonts w:cs="Calibri"/>
          <w:color w:val="000000"/>
          <w:lang w:eastAsia="fr-FR"/>
        </w:rPr>
        <w:t xml:space="preserve">qu’elle ne soit pas en cours de suivi pour un résultat positif ou anormal ; </w:t>
      </w:r>
    </w:p>
    <w:p w:rsidR="00606C1E" w:rsidRPr="001823D9" w:rsidRDefault="00606C1E" w:rsidP="001823D9">
      <w:pPr>
        <w:pStyle w:val="Paragraphedeliste"/>
        <w:numPr>
          <w:ilvl w:val="0"/>
          <w:numId w:val="46"/>
        </w:numPr>
        <w:autoSpaceDE w:val="0"/>
        <w:autoSpaceDN w:val="0"/>
        <w:adjustRightInd w:val="0"/>
        <w:spacing w:after="0" w:line="240" w:lineRule="auto"/>
        <w:jc w:val="both"/>
        <w:rPr>
          <w:rFonts w:cs="Calibri"/>
          <w:color w:val="000000"/>
          <w:lang w:eastAsia="fr-FR"/>
        </w:rPr>
      </w:pPr>
      <w:r w:rsidRPr="001823D9">
        <w:rPr>
          <w:rFonts w:cs="Calibri"/>
          <w:color w:val="000000"/>
          <w:lang w:eastAsia="fr-FR"/>
        </w:rPr>
        <w:t>que son dernier dépistage date de plus de 36 mois en cas d’analyse cytologique ou de plus de 60 mois en cas de test HPV-</w:t>
      </w:r>
      <w:r w:rsidR="00335EC4">
        <w:rPr>
          <w:rFonts w:cs="Calibri"/>
          <w:color w:val="000000"/>
          <w:lang w:eastAsia="fr-FR"/>
        </w:rPr>
        <w:t xml:space="preserve"> </w:t>
      </w:r>
      <w:r w:rsidRPr="00335EC4">
        <w:rPr>
          <w:rFonts w:cs="Calibri"/>
          <w:color w:val="000000"/>
          <w:lang w:eastAsia="fr-FR"/>
        </w:rPr>
        <w:t>H</w:t>
      </w:r>
      <w:r w:rsidR="00335EC4" w:rsidRPr="00335EC4">
        <w:rPr>
          <w:rFonts w:cs="Calibri"/>
          <w:color w:val="000000"/>
          <w:lang w:eastAsia="fr-FR"/>
        </w:rPr>
        <w:t xml:space="preserve">R (Haut </w:t>
      </w:r>
      <w:r w:rsidRPr="00335EC4">
        <w:rPr>
          <w:rFonts w:cs="Calibri"/>
          <w:color w:val="000000"/>
          <w:lang w:eastAsia="fr-FR"/>
        </w:rPr>
        <w:t>R</w:t>
      </w:r>
      <w:r w:rsidR="00335EC4">
        <w:rPr>
          <w:rFonts w:cs="Calibri"/>
          <w:color w:val="000000"/>
          <w:lang w:eastAsia="fr-FR"/>
        </w:rPr>
        <w:t>isque)</w:t>
      </w:r>
      <w:r w:rsidRPr="001823D9">
        <w:rPr>
          <w:rFonts w:cs="Calibri"/>
          <w:color w:val="000000"/>
          <w:lang w:eastAsia="fr-FR"/>
        </w:rPr>
        <w:t xml:space="preserve"> ; </w:t>
      </w:r>
    </w:p>
    <w:p w:rsidR="00606C1E" w:rsidRPr="001823D9" w:rsidRDefault="00606C1E" w:rsidP="001823D9">
      <w:pPr>
        <w:pStyle w:val="Paragraphedeliste"/>
        <w:numPr>
          <w:ilvl w:val="0"/>
          <w:numId w:val="46"/>
        </w:numPr>
        <w:autoSpaceDE w:val="0"/>
        <w:autoSpaceDN w:val="0"/>
        <w:adjustRightInd w:val="0"/>
        <w:spacing w:after="0" w:line="240" w:lineRule="auto"/>
        <w:jc w:val="both"/>
        <w:rPr>
          <w:rFonts w:cs="Calibri"/>
          <w:color w:val="000000"/>
          <w:lang w:eastAsia="fr-FR"/>
        </w:rPr>
      </w:pPr>
      <w:r w:rsidRPr="001823D9">
        <w:rPr>
          <w:rFonts w:cs="Calibri"/>
          <w:color w:val="000000"/>
          <w:lang w:eastAsia="fr-FR"/>
        </w:rPr>
        <w:t xml:space="preserve">qu’elle n’ait pas subi d’hystérectomie totale ; </w:t>
      </w:r>
    </w:p>
    <w:p w:rsidR="00606C1E" w:rsidRPr="001823D9" w:rsidRDefault="00606C1E" w:rsidP="001823D9">
      <w:pPr>
        <w:pStyle w:val="Paragraphedeliste"/>
        <w:numPr>
          <w:ilvl w:val="0"/>
          <w:numId w:val="46"/>
        </w:numPr>
        <w:autoSpaceDE w:val="0"/>
        <w:autoSpaceDN w:val="0"/>
        <w:adjustRightInd w:val="0"/>
        <w:spacing w:after="0" w:line="240" w:lineRule="auto"/>
        <w:jc w:val="both"/>
        <w:rPr>
          <w:rFonts w:cs="Calibri"/>
          <w:color w:val="000000"/>
          <w:lang w:eastAsia="fr-FR"/>
        </w:rPr>
      </w:pPr>
      <w:r w:rsidRPr="001823D9">
        <w:rPr>
          <w:rFonts w:cs="Calibri"/>
          <w:color w:val="000000"/>
          <w:lang w:eastAsia="fr-FR"/>
        </w:rPr>
        <w:t xml:space="preserve">que la réalisation du </w:t>
      </w:r>
      <w:r w:rsidR="00335EC4">
        <w:rPr>
          <w:rFonts w:cs="Calibri"/>
          <w:color w:val="000000"/>
          <w:lang w:eastAsia="fr-FR"/>
        </w:rPr>
        <w:t>p</w:t>
      </w:r>
      <w:r w:rsidR="005D23AE">
        <w:rPr>
          <w:rFonts w:cs="Calibri"/>
          <w:color w:val="000000"/>
          <w:lang w:eastAsia="fr-FR"/>
        </w:rPr>
        <w:t xml:space="preserve">rélèvement cervico-utérin </w:t>
      </w:r>
      <w:r w:rsidR="005D23AE" w:rsidRPr="00335EC4">
        <w:rPr>
          <w:rFonts w:cs="Calibri"/>
          <w:color w:val="000000"/>
          <w:lang w:eastAsia="fr-FR"/>
        </w:rPr>
        <w:t>(</w:t>
      </w:r>
      <w:r w:rsidRPr="00335EC4">
        <w:rPr>
          <w:rFonts w:cs="Calibri"/>
          <w:color w:val="000000"/>
          <w:lang w:eastAsia="fr-FR"/>
        </w:rPr>
        <w:t>PCU</w:t>
      </w:r>
      <w:r w:rsidR="005D23AE">
        <w:rPr>
          <w:rFonts w:cs="Calibri"/>
          <w:color w:val="000000"/>
          <w:lang w:eastAsia="fr-FR"/>
        </w:rPr>
        <w:t>)</w:t>
      </w:r>
      <w:r w:rsidRPr="001823D9">
        <w:rPr>
          <w:rFonts w:cs="Calibri"/>
          <w:color w:val="000000"/>
          <w:lang w:eastAsia="fr-FR"/>
        </w:rPr>
        <w:t xml:space="preserve"> par le professionnel ne soit pas possible (refus de la femme</w:t>
      </w:r>
      <w:r w:rsidR="00084BE0" w:rsidRPr="00084BE0">
        <w:rPr>
          <w:rFonts w:cs="Calibri"/>
          <w:color w:val="000000"/>
          <w:lang w:eastAsia="fr-FR"/>
        </w:rPr>
        <w:t xml:space="preserve"> </w:t>
      </w:r>
      <w:r w:rsidR="00084BE0" w:rsidRPr="001823D9">
        <w:rPr>
          <w:rFonts w:cs="Calibri"/>
          <w:color w:val="000000"/>
          <w:lang w:eastAsia="fr-FR"/>
        </w:rPr>
        <w:t xml:space="preserve">pour des raisons de pudeur, culturelles ou ayant subi des </w:t>
      </w:r>
      <w:r w:rsidR="00084BE0" w:rsidRPr="001823D9">
        <w:rPr>
          <w:rFonts w:cs="Calibri"/>
          <w:color w:val="000000"/>
          <w:lang w:eastAsia="fr-FR"/>
        </w:rPr>
        <w:lastRenderedPageBreak/>
        <w:t>traumatismes (violences sexuelles, mauvaise expérience médicale antérieure</w:t>
      </w:r>
      <w:r w:rsidRPr="001823D9">
        <w:rPr>
          <w:rFonts w:cs="Calibri"/>
          <w:color w:val="000000"/>
          <w:lang w:eastAsia="fr-FR"/>
        </w:rPr>
        <w:t>, non-possibilité de réaliser l’examen gynécologique).</w:t>
      </w:r>
    </w:p>
    <w:p w:rsidR="001B554D" w:rsidRDefault="001B554D" w:rsidP="00EC314E">
      <w:pPr>
        <w:tabs>
          <w:tab w:val="left" w:pos="142"/>
        </w:tabs>
        <w:autoSpaceDE w:val="0"/>
        <w:autoSpaceDN w:val="0"/>
        <w:adjustRightInd w:val="0"/>
        <w:spacing w:before="60" w:after="0"/>
        <w:rPr>
          <w:rFonts w:eastAsia="Times New Roman" w:cs="Calibri"/>
          <w:lang w:eastAsia="fr-FR"/>
        </w:rPr>
      </w:pPr>
    </w:p>
    <w:p w:rsidR="0056797F" w:rsidRDefault="005C6E08" w:rsidP="004F626F">
      <w:pPr>
        <w:pStyle w:val="Paragraphedeliste"/>
        <w:numPr>
          <w:ilvl w:val="0"/>
          <w:numId w:val="11"/>
        </w:numPr>
        <w:spacing w:after="0"/>
        <w:rPr>
          <w:b/>
          <w:lang w:eastAsia="fr-FR"/>
        </w:rPr>
      </w:pPr>
      <w:r w:rsidRPr="005C6E08">
        <w:rPr>
          <w:b/>
          <w:lang w:eastAsia="fr-FR"/>
        </w:rPr>
        <w:t>Types d’actions</w:t>
      </w:r>
      <w:r w:rsidR="00F732E6">
        <w:rPr>
          <w:b/>
          <w:lang w:eastAsia="fr-FR"/>
        </w:rPr>
        <w:t xml:space="preserve"> complémentaires à la</w:t>
      </w:r>
      <w:r w:rsidR="00F732E6" w:rsidRPr="00F732E6">
        <w:rPr>
          <w:b/>
          <w:caps/>
        </w:rPr>
        <w:t xml:space="preserve"> </w:t>
      </w:r>
      <w:r w:rsidR="00F732E6" w:rsidRPr="00F732E6">
        <w:rPr>
          <w:b/>
          <w:lang w:eastAsia="fr-FR"/>
        </w:rPr>
        <w:t>réalisation d’un dépistage ou d’aide à la réalisation du dépistage</w:t>
      </w:r>
      <w:r w:rsidR="00F732E6">
        <w:rPr>
          <w:b/>
          <w:lang w:eastAsia="fr-FR"/>
        </w:rPr>
        <w:t xml:space="preserve"> </w:t>
      </w:r>
      <w:r w:rsidRPr="005C6E08">
        <w:rPr>
          <w:b/>
          <w:lang w:eastAsia="fr-FR"/>
        </w:rPr>
        <w:t>pouvant faire l’objet d’une demande de financement</w:t>
      </w:r>
      <w:r w:rsidR="00F732E6">
        <w:rPr>
          <w:b/>
          <w:lang w:eastAsia="fr-FR"/>
        </w:rPr>
        <w:t> :</w:t>
      </w:r>
    </w:p>
    <w:p w:rsidR="005C6E08" w:rsidRPr="00B40284" w:rsidRDefault="005C6E08" w:rsidP="0098030D">
      <w:pPr>
        <w:pStyle w:val="Paragraphedeliste"/>
        <w:numPr>
          <w:ilvl w:val="0"/>
          <w:numId w:val="20"/>
        </w:numPr>
        <w:spacing w:before="60" w:after="0" w:line="240" w:lineRule="auto"/>
        <w:ind w:left="714" w:hanging="357"/>
        <w:jc w:val="both"/>
        <w:rPr>
          <w:rFonts w:eastAsia="Times New Roman" w:cs="Calibri"/>
          <w:lang w:eastAsia="fr-FR"/>
        </w:rPr>
      </w:pPr>
      <w:r w:rsidRPr="00B40284">
        <w:rPr>
          <w:rFonts w:cs="Calibri"/>
        </w:rPr>
        <w:t>Ateliers d’information</w:t>
      </w:r>
      <w:r w:rsidR="00266FAD">
        <w:rPr>
          <w:rFonts w:cs="Calibri"/>
        </w:rPr>
        <w:t> </w:t>
      </w:r>
      <w:r w:rsidR="00266FAD">
        <w:rPr>
          <w:rFonts w:eastAsia="Times New Roman" w:cs="Calibri"/>
          <w:lang w:eastAsia="fr-FR"/>
        </w:rPr>
        <w:t>;</w:t>
      </w:r>
    </w:p>
    <w:p w:rsidR="005C6E08" w:rsidRPr="004B678D" w:rsidRDefault="005C6E08" w:rsidP="00590F66">
      <w:pPr>
        <w:pStyle w:val="Paragraphedeliste"/>
        <w:numPr>
          <w:ilvl w:val="0"/>
          <w:numId w:val="20"/>
        </w:numPr>
        <w:spacing w:before="60" w:after="0" w:line="240" w:lineRule="auto"/>
        <w:ind w:left="714" w:hanging="357"/>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rsidR="005C6E08" w:rsidRPr="00CB1C8E" w:rsidRDefault="005C6E08" w:rsidP="004B678D">
      <w:pPr>
        <w:spacing w:before="60" w:after="0" w:line="240" w:lineRule="auto"/>
        <w:ind w:left="709"/>
        <w:jc w:val="both"/>
        <w:rPr>
          <w:rFonts w:eastAsia="Times New Roman"/>
          <w:lang w:eastAsia="fr-FR"/>
        </w:rPr>
      </w:pPr>
      <w:r w:rsidRPr="008F7839">
        <w:rPr>
          <w:rFonts w:eastAsia="Times New Roman"/>
          <w:b/>
          <w:u w:val="single"/>
          <w:lang w:eastAsia="fr-FR"/>
        </w:rPr>
        <w:t>à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rsidR="005C6E08" w:rsidRPr="00CB1C8E" w:rsidRDefault="005C6E08" w:rsidP="0098030D">
      <w:pPr>
        <w:numPr>
          <w:ilvl w:val="0"/>
          <w:numId w:val="21"/>
        </w:numPr>
        <w:spacing w:after="0" w:line="240" w:lineRule="auto"/>
        <w:ind w:left="1440"/>
        <w:jc w:val="both"/>
        <w:rPr>
          <w:rFonts w:eastAsia="Times New Roman"/>
          <w:lang w:eastAsia="fr-FR"/>
        </w:rPr>
      </w:pPr>
      <w:r w:rsidRPr="00CB1C8E">
        <w:rPr>
          <w:rFonts w:eastAsia="Times New Roman"/>
          <w:lang w:eastAsia="fr-FR"/>
        </w:rPr>
        <w:t>la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Pr="00CB1C8E">
        <w:rPr>
          <w:rFonts w:eastAsia="Times New Roman"/>
          <w:lang w:eastAsia="fr-FR"/>
        </w:rPr>
        <w:t xml:space="preserve">; </w:t>
      </w:r>
    </w:p>
    <w:p w:rsidR="005C6E08" w:rsidRDefault="005C6E08" w:rsidP="0098030D">
      <w:pPr>
        <w:pStyle w:val="Paragraphedeliste"/>
        <w:numPr>
          <w:ilvl w:val="0"/>
          <w:numId w:val="21"/>
        </w:numPr>
        <w:spacing w:after="0" w:line="240" w:lineRule="auto"/>
        <w:ind w:left="1440"/>
        <w:jc w:val="both"/>
        <w:rPr>
          <w:rFonts w:eastAsia="Times New Roman"/>
          <w:lang w:eastAsia="fr-FR"/>
        </w:rPr>
      </w:pPr>
      <w:r w:rsidRPr="00CB1C8E">
        <w:rPr>
          <w:rFonts w:eastAsia="Times New Roman"/>
          <w:lang w:eastAsia="fr-FR"/>
        </w:rPr>
        <w:t xml:space="preserve">la </w:t>
      </w:r>
      <w:r w:rsidR="00367257">
        <w:rPr>
          <w:rFonts w:eastAsia="Times New Roman"/>
          <w:lang w:eastAsia="fr-FR"/>
        </w:rPr>
        <w:t>capacité à répondre aux questions des participants et de la validation des contenus par un professionnel de santé</w:t>
      </w:r>
      <w:r w:rsidRPr="00CB1C8E">
        <w:rPr>
          <w:rFonts w:eastAsia="Times New Roman"/>
          <w:lang w:eastAsia="fr-FR"/>
        </w:rPr>
        <w:t xml:space="preserve">. </w:t>
      </w:r>
    </w:p>
    <w:p w:rsidR="00C028C9" w:rsidRPr="00C028C9" w:rsidRDefault="00C028C9" w:rsidP="00C028C9">
      <w:pPr>
        <w:spacing w:after="0" w:line="240" w:lineRule="auto"/>
        <w:jc w:val="both"/>
        <w:rPr>
          <w:rFonts w:eastAsia="Times New Roman"/>
          <w:lang w:eastAsia="fr-FR"/>
        </w:rPr>
      </w:pPr>
    </w:p>
    <w:p w:rsidR="00640552" w:rsidRPr="005C6E08" w:rsidRDefault="00640552" w:rsidP="004F626F">
      <w:pPr>
        <w:pStyle w:val="Paragraphedeliste"/>
        <w:numPr>
          <w:ilvl w:val="0"/>
          <w:numId w:val="11"/>
        </w:numPr>
        <w:spacing w:after="0" w:line="240" w:lineRule="auto"/>
        <w:ind w:left="760" w:hanging="357"/>
        <w:rPr>
          <w:b/>
          <w:lang w:eastAsia="fr-FR"/>
        </w:rPr>
      </w:pPr>
      <w:r w:rsidRPr="005C6E08">
        <w:rPr>
          <w:b/>
          <w:lang w:eastAsia="fr-FR"/>
        </w:rPr>
        <w:t xml:space="preserve">Types d’actions </w:t>
      </w:r>
      <w:r w:rsidR="00D6135D">
        <w:rPr>
          <w:b/>
          <w:lang w:eastAsia="fr-FR"/>
        </w:rPr>
        <w:t xml:space="preserve">non éligibles à </w:t>
      </w:r>
      <w:r w:rsidRPr="005C6E08">
        <w:rPr>
          <w:b/>
          <w:lang w:eastAsia="fr-FR"/>
        </w:rPr>
        <w:t>une demande de financement : à titre d’exemple</w:t>
      </w:r>
    </w:p>
    <w:p w:rsidR="00640552" w:rsidRDefault="00640552">
      <w:pPr>
        <w:spacing w:after="0" w:line="240" w:lineRule="auto"/>
        <w:rPr>
          <w:rFonts w:cs="Calibri"/>
          <w:color w:val="000000"/>
          <w:szCs w:val="24"/>
          <w:lang w:eastAsia="fr-FR"/>
        </w:rPr>
      </w:pPr>
    </w:p>
    <w:p w:rsidR="00DA1C8C"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rsidR="00DA1C8C" w:rsidRDefault="00640552" w:rsidP="0098030D">
      <w:pPr>
        <w:pStyle w:val="Paragraphedeliste"/>
        <w:numPr>
          <w:ilvl w:val="1"/>
          <w:numId w:val="23"/>
        </w:numPr>
        <w:spacing w:before="60" w:after="0" w:line="240" w:lineRule="auto"/>
        <w:jc w:val="both"/>
        <w:rPr>
          <w:rFonts w:eastAsia="Times New Roman"/>
          <w:lang w:eastAsia="fr-FR"/>
        </w:rPr>
      </w:pPr>
      <w:r w:rsidRPr="00B40284">
        <w:rPr>
          <w:rFonts w:eastAsia="Times New Roman"/>
          <w:lang w:eastAsia="fr-FR"/>
        </w:rPr>
        <w:t>personnel ou fonctionnement des Centres Régionaux de Coordination des Dépistages des Cancers,</w:t>
      </w:r>
    </w:p>
    <w:p w:rsidR="00DA1C8C" w:rsidRPr="00BD471C" w:rsidRDefault="00DA1C8C" w:rsidP="0098030D">
      <w:pPr>
        <w:pStyle w:val="Paragraphedeliste"/>
        <w:numPr>
          <w:ilvl w:val="1"/>
          <w:numId w:val="23"/>
        </w:numPr>
        <w:spacing w:before="60" w:after="0" w:line="240" w:lineRule="auto"/>
        <w:jc w:val="both"/>
        <w:rPr>
          <w:rFonts w:cs="Calibri"/>
        </w:rPr>
      </w:pPr>
      <w:r w:rsidRPr="00F43CB6">
        <w:rPr>
          <w:rFonts w:cs="Calibri"/>
        </w:rPr>
        <w:t>missions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Pr="00F43CB6">
        <w:rPr>
          <w:rFonts w:cs="Calibri"/>
        </w:rPr>
        <w:t xml:space="preserve"> </w:t>
      </w:r>
      <w:r w:rsidRPr="00DA1C8C">
        <w:rPr>
          <w:rFonts w:cs="Calibri"/>
        </w:rPr>
        <w:t xml:space="preserve">Maison de Santé Pluriprofessionnelle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 de précarité</w:t>
      </w:r>
      <w:r w:rsidR="00BD471C" w:rsidRPr="00BD471C">
        <w:rPr>
          <w:rFonts w:cs="Calibri"/>
        </w:rPr>
        <w:t xml:space="preserve"> (les </w:t>
      </w:r>
      <w:r w:rsidR="00BD471C" w:rsidRPr="00DA1C8C">
        <w:rPr>
          <w:rFonts w:cs="Calibri"/>
          <w:iCs/>
        </w:rPr>
        <w:t>Communautés Professionnelles Territoriales de Santé</w:t>
      </w:r>
      <w:r w:rsidR="00BD471C" w:rsidRPr="00DA1C8C">
        <w:rPr>
          <w:rFonts w:cs="Calibri"/>
        </w:rPr>
        <w:t xml:space="preserve"> (</w:t>
      </w:r>
      <w:r w:rsidR="00BD471C" w:rsidRPr="00DA1C8C">
        <w:rPr>
          <w:rFonts w:cs="Calibri"/>
          <w:iCs/>
        </w:rPr>
        <w:t>CPTS</w:t>
      </w:r>
      <w:r w:rsidR="00BD471C" w:rsidRPr="00DA1C8C">
        <w:rPr>
          <w:rFonts w:cs="Calibri"/>
        </w:rPr>
        <w:t>)</w:t>
      </w:r>
      <w:r w:rsidR="00BD471C" w:rsidRPr="00BD471C">
        <w:rPr>
          <w:rFonts w:cs="Calibri"/>
        </w:rPr>
        <w:t xml:space="preserve"> ne sont </w:t>
      </w:r>
      <w:r w:rsidR="00BD471C">
        <w:rPr>
          <w:rFonts w:cs="Calibri"/>
        </w:rPr>
        <w:t xml:space="preserve">pas </w:t>
      </w:r>
      <w:r w:rsidR="00BD471C" w:rsidRPr="00BD471C">
        <w:rPr>
          <w:rFonts w:cs="Calibri"/>
        </w:rPr>
        <w:t>éligibles au financement),</w:t>
      </w:r>
    </w:p>
    <w:p w:rsidR="00CF3C53" w:rsidRDefault="00EE22AA" w:rsidP="00EE22AA">
      <w:pPr>
        <w:pStyle w:val="Paragraphedeliste"/>
        <w:numPr>
          <w:ilvl w:val="1"/>
          <w:numId w:val="23"/>
        </w:numPr>
        <w:spacing w:before="60" w:after="0" w:line="240" w:lineRule="auto"/>
        <w:jc w:val="both"/>
        <w:rPr>
          <w:rFonts w:eastAsia="Times New Roman"/>
          <w:lang w:eastAsia="fr-FR"/>
        </w:rPr>
      </w:pPr>
      <w:r>
        <w:rPr>
          <w:rFonts w:eastAsia="Times New Roman"/>
          <w:lang w:eastAsia="fr-FR"/>
        </w:rPr>
        <w:t>formation</w:t>
      </w:r>
      <w:r w:rsidR="00640552" w:rsidRPr="00B40284">
        <w:rPr>
          <w:rFonts w:eastAsia="Times New Roman"/>
          <w:lang w:eastAsia="fr-FR"/>
        </w:rPr>
        <w:t xml:space="preserve"> du personnel dans les </w:t>
      </w:r>
      <w:r w:rsidRPr="00EE22AA">
        <w:rPr>
          <w:rFonts w:eastAsia="Times New Roman"/>
          <w:lang w:eastAsia="fr-FR"/>
        </w:rPr>
        <w:t>Maison</w:t>
      </w:r>
      <w:r w:rsidR="00FF68B5">
        <w:rPr>
          <w:rFonts w:eastAsia="Times New Roman"/>
          <w:lang w:eastAsia="fr-FR"/>
        </w:rPr>
        <w:t>s</w:t>
      </w:r>
      <w:r w:rsidRPr="00EE22AA">
        <w:rPr>
          <w:rFonts w:eastAsia="Times New Roman"/>
          <w:lang w:eastAsia="fr-FR"/>
        </w:rPr>
        <w:t xml:space="preserve"> de Santé Pluriprofessionnelle (MSP) ou Centre</w:t>
      </w:r>
      <w:r w:rsidR="00FF68B5">
        <w:rPr>
          <w:rFonts w:eastAsia="Times New Roman"/>
          <w:lang w:eastAsia="fr-FR"/>
        </w:rPr>
        <w:t>s</w:t>
      </w:r>
      <w:r w:rsidRPr="00EE22AA">
        <w:rPr>
          <w:rFonts w:eastAsia="Times New Roman"/>
          <w:lang w:eastAsia="fr-FR"/>
        </w:rPr>
        <w:t xml:space="preserve"> de Santé</w:t>
      </w:r>
      <w:r w:rsidR="00640552" w:rsidRPr="00B40284">
        <w:rPr>
          <w:rFonts w:eastAsia="Times New Roman"/>
          <w:lang w:eastAsia="fr-FR"/>
        </w:rPr>
        <w:t>,</w:t>
      </w:r>
    </w:p>
    <w:p w:rsidR="00E26458" w:rsidRDefault="004F626F"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6B4F35">
        <w:rPr>
          <w:rFonts w:eastAsia="Times New Roman"/>
          <w:lang w:eastAsia="fr-FR"/>
        </w:rPr>
        <w:t xml:space="preserve"> ou courriers papier ou appels sortants déjà réalisées par l’Assurance Maladie</w:t>
      </w:r>
      <w:r w:rsidR="00E26458">
        <w:rPr>
          <w:rFonts w:eastAsia="Times New Roman"/>
          <w:lang w:eastAsia="fr-FR"/>
        </w:rPr>
        <w:t> ;</w:t>
      </w:r>
    </w:p>
    <w:p w:rsidR="00640552"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CB1C8E">
        <w:rPr>
          <w:rFonts w:eastAsia="Times New Roman"/>
          <w:lang w:eastAsia="fr-FR"/>
        </w:rPr>
        <w:t>Les interventions non conformes aux recommandations de la HAS : les séances de sensibilisation à la technique de l’autopalpation (et donc les bustes destinés à faire de l’autopalpation); de même les actions relatives au bien-être : sophrologie, yoga, acupuncture, art-thérapie (peinture, sculpture, exposition de photos, etc)) ;</w:t>
      </w:r>
    </w:p>
    <w:p w:rsidR="006B4F35" w:rsidRPr="00CB1C8E" w:rsidRDefault="006B4F35" w:rsidP="006B4F35">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Les actions « Escape game » ou « réalité virtuelle ».</w:t>
      </w:r>
    </w:p>
    <w:p w:rsidR="007E5537" w:rsidRDefault="007E5537" w:rsidP="007E5537">
      <w:pPr>
        <w:pStyle w:val="Paragraphedeliste"/>
        <w:spacing w:before="60" w:after="0" w:line="240" w:lineRule="auto"/>
        <w:ind w:left="714"/>
        <w:jc w:val="both"/>
        <w:rPr>
          <w:rFonts w:eastAsia="Times New Roman"/>
          <w:highlight w:val="yellow"/>
          <w:lang w:eastAsia="fr-FR"/>
        </w:rPr>
      </w:pPr>
    </w:p>
    <w:p w:rsidR="006212E1" w:rsidRPr="005D439A" w:rsidRDefault="006212E1" w:rsidP="00B43A73">
      <w:pPr>
        <w:pStyle w:val="Default"/>
        <w:jc w:val="both"/>
        <w:rPr>
          <w:sz w:val="2"/>
        </w:rPr>
      </w:pPr>
    </w:p>
    <w:p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rsidR="008802DF" w:rsidRPr="00527093" w:rsidRDefault="008802DF" w:rsidP="008802DF">
      <w:pPr>
        <w:autoSpaceDE w:val="0"/>
        <w:autoSpaceDN w:val="0"/>
        <w:adjustRightInd w:val="0"/>
        <w:spacing w:after="0" w:line="240" w:lineRule="auto"/>
        <w:jc w:val="both"/>
        <w:rPr>
          <w:rFonts w:cs="Calibri"/>
          <w:lang w:eastAsia="fr-FR"/>
        </w:rPr>
      </w:pPr>
    </w:p>
    <w:p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 ;</w:t>
      </w:r>
    </w:p>
    <w:p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rsidR="008802DF" w:rsidRPr="0073763E" w:rsidRDefault="008802DF" w:rsidP="0098030D">
      <w:pPr>
        <w:numPr>
          <w:ilvl w:val="0"/>
          <w:numId w:val="34"/>
        </w:numPr>
        <w:spacing w:after="0" w:line="240" w:lineRule="auto"/>
        <w:jc w:val="both"/>
        <w:rPr>
          <w:rFonts w:cs="Calibri"/>
        </w:rPr>
      </w:pPr>
      <w:r>
        <w:rPr>
          <w:rFonts w:cs="Calibri"/>
        </w:rPr>
        <w:t xml:space="preserve">Associations ; </w:t>
      </w:r>
    </w:p>
    <w:p w:rsidR="008802DF" w:rsidRPr="0073763E" w:rsidRDefault="008802DF" w:rsidP="0098030D">
      <w:pPr>
        <w:numPr>
          <w:ilvl w:val="0"/>
          <w:numId w:val="34"/>
        </w:numPr>
        <w:spacing w:after="0" w:line="240" w:lineRule="auto"/>
        <w:jc w:val="both"/>
        <w:rPr>
          <w:rFonts w:cs="Calibri"/>
        </w:rPr>
      </w:pPr>
      <w:r w:rsidRPr="0073763E">
        <w:rPr>
          <w:rFonts w:cs="Calibri"/>
        </w:rPr>
        <w:t>etc…</w:t>
      </w:r>
    </w:p>
    <w:p w:rsidR="008802DF" w:rsidRDefault="008802DF" w:rsidP="008802DF">
      <w:pPr>
        <w:spacing w:after="0" w:line="240" w:lineRule="auto"/>
        <w:ind w:right="260"/>
        <w:jc w:val="both"/>
      </w:pPr>
    </w:p>
    <w:p w:rsidR="00973694" w:rsidRDefault="00973694" w:rsidP="00973694">
      <w:pPr>
        <w:autoSpaceDE w:val="0"/>
        <w:autoSpaceDN w:val="0"/>
        <w:adjustRightInd w:val="0"/>
        <w:spacing w:after="0"/>
      </w:pPr>
    </w:p>
    <w:p w:rsidR="00711BE5" w:rsidRPr="007C6715" w:rsidRDefault="00711BE5" w:rsidP="00711BE5">
      <w:pPr>
        <w:pStyle w:val="Style1"/>
        <w:jc w:val="both"/>
        <w:rPr>
          <w:sz w:val="22"/>
          <w:szCs w:val="22"/>
        </w:rPr>
      </w:pPr>
      <w:r w:rsidRPr="007C6715">
        <w:rPr>
          <w:sz w:val="22"/>
          <w:szCs w:val="22"/>
        </w:rPr>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rsidR="00711BE5" w:rsidRDefault="00711BE5" w:rsidP="00711BE5">
      <w:pPr>
        <w:numPr>
          <w:ilvl w:val="0"/>
          <w:numId w:val="8"/>
        </w:numPr>
        <w:spacing w:after="0" w:line="240" w:lineRule="auto"/>
        <w:ind w:left="426" w:hanging="284"/>
        <w:jc w:val="both"/>
      </w:pPr>
      <w:r w:rsidRPr="00D66A41">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actions pédagogiques </w:t>
      </w:r>
      <w:r w:rsidRPr="00D66A41">
        <w:t>sur les dépistages, les supports de l’INCa doivent être utilisés. Les CPAM peuvent les commander gratuitement sur son site après y avoir créé un compte : « </w:t>
      </w:r>
      <w:hyperlink r:id="rId9" w:history="1">
        <w:r w:rsidRPr="00D66A41">
          <w:rPr>
            <w:rStyle w:val="Lienhypertexte"/>
          </w:rPr>
          <w:t>https://www.e-cancer.fr/Expertises-et-publications/Catalogue-des-publications</w:t>
        </w:r>
      </w:hyperlink>
      <w:r w:rsidRPr="00D66A41">
        <w:t> ».</w:t>
      </w:r>
    </w:p>
    <w:p w:rsidR="00FF68B5" w:rsidRPr="00D66A41" w:rsidRDefault="00FF68B5" w:rsidP="00FF68B5">
      <w:pPr>
        <w:spacing w:after="0" w:line="240" w:lineRule="auto"/>
        <w:ind w:left="426"/>
        <w:jc w:val="both"/>
      </w:pPr>
      <w:r>
        <w:t>Les supports proposés peuvent être commandés dans différentes langues.</w:t>
      </w:r>
    </w:p>
    <w:p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les outils de communication nationaux à l’échelon local. A ce titre, les outils de communication « élaborés » par les centres régionaux de coordination des dépistages des cancers peuvent être repris (cf annexe</w:t>
      </w:r>
      <w:r>
        <w:t xml:space="preserve"> précisant les missions des CRCDC</w:t>
      </w:r>
      <w:r w:rsidRPr="00D66A41">
        <w:t>).</w:t>
      </w:r>
    </w:p>
    <w:p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rsidR="00711BE5" w:rsidRDefault="00711BE5" w:rsidP="0098030D">
      <w:pPr>
        <w:numPr>
          <w:ilvl w:val="0"/>
          <w:numId w:val="12"/>
        </w:numPr>
        <w:spacing w:before="60" w:after="0" w:line="240" w:lineRule="auto"/>
        <w:ind w:left="1276" w:hanging="425"/>
        <w:jc w:val="both"/>
      </w:pPr>
      <w:r>
        <w:t xml:space="preserve">Site de l’INCa : </w:t>
      </w:r>
      <w:hyperlink r:id="rId10" w:history="1">
        <w:r w:rsidRPr="00D66A41">
          <w:rPr>
            <w:rStyle w:val="Lienhypertexte"/>
          </w:rPr>
          <w:t>https://www.e-cancer.fr/Expertises-et-publications/Catalogue-des-publications</w:t>
        </w:r>
      </w:hyperlink>
    </w:p>
    <w:p w:rsidR="00711BE5" w:rsidRDefault="00711BE5" w:rsidP="0098030D">
      <w:pPr>
        <w:numPr>
          <w:ilvl w:val="0"/>
          <w:numId w:val="12"/>
        </w:numPr>
        <w:spacing w:before="60" w:after="0" w:line="240" w:lineRule="auto"/>
        <w:ind w:left="1276" w:hanging="425"/>
        <w:jc w:val="both"/>
      </w:pPr>
      <w:r w:rsidRPr="00D66A41">
        <w:t>Ameli pour l’Assurance Maladie</w:t>
      </w:r>
      <w:r>
        <w:t xml:space="preserve"> : </w:t>
      </w:r>
      <w:hyperlink r:id="rId11" w:history="1">
        <w:r w:rsidRPr="00036A46">
          <w:rPr>
            <w:rStyle w:val="Lienhypertexte"/>
          </w:rPr>
          <w:t>https://www.ameli.fr/</w:t>
        </w:r>
      </w:hyperlink>
      <w:r>
        <w:t xml:space="preserve"> ,</w:t>
      </w:r>
    </w:p>
    <w:p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2" w:history="1">
        <w:r w:rsidRPr="00036A46">
          <w:rPr>
            <w:rStyle w:val="Lienhypertexte"/>
          </w:rPr>
          <w:t>https://www.santepubliquefrance.fr/</w:t>
        </w:r>
      </w:hyperlink>
      <w:r>
        <w:rPr>
          <w:rStyle w:val="Lienhypertexte"/>
        </w:rPr>
        <w:t>.</w:t>
      </w:r>
    </w:p>
    <w:p w:rsidR="00711BE5" w:rsidRDefault="00711BE5" w:rsidP="000F4059">
      <w:pPr>
        <w:spacing w:after="0" w:line="240" w:lineRule="auto"/>
        <w:jc w:val="both"/>
        <w:rPr>
          <w:rFonts w:cs="Calibri"/>
          <w:lang w:eastAsia="fr-FR"/>
        </w:rPr>
      </w:pPr>
    </w:p>
    <w:p w:rsidR="006643E9" w:rsidRDefault="006643E9" w:rsidP="000F4059">
      <w:pPr>
        <w:spacing w:after="0" w:line="240" w:lineRule="auto"/>
        <w:jc w:val="both"/>
        <w:rPr>
          <w:rFonts w:cs="Calibri"/>
          <w:lang w:eastAsia="fr-FR"/>
        </w:rPr>
      </w:pPr>
    </w:p>
    <w:p w:rsidR="00AF7824" w:rsidRPr="00540E2A" w:rsidRDefault="00AF7824" w:rsidP="00AF7824">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r w:rsidRPr="00540E2A">
        <w:rPr>
          <w:rFonts w:eastAsia="Times New Roman"/>
          <w:caps/>
          <w:color w:val="243F60"/>
          <w:spacing w:val="15"/>
          <w:lang w:eastAsia="fr-FR"/>
        </w:rPr>
        <w:t xml:space="preserve"> </w:t>
      </w:r>
    </w:p>
    <w:p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actions se dérouleront sur l’exercice 202</w:t>
      </w:r>
      <w:r w:rsidR="0017734E">
        <w:rPr>
          <w:rFonts w:cs="Calibri"/>
          <w:lang w:eastAsia="fr-FR"/>
        </w:rPr>
        <w:t>3</w:t>
      </w:r>
      <w:r w:rsidRPr="00E61E8B">
        <w:rPr>
          <w:rFonts w:cs="Calibri"/>
          <w:lang w:eastAsia="fr-FR"/>
        </w:rPr>
        <w:t xml:space="preserve">. </w:t>
      </w:r>
    </w:p>
    <w:p w:rsidR="00AF7824" w:rsidRPr="00E61E8B" w:rsidRDefault="00AF7824" w:rsidP="00D84990">
      <w:pPr>
        <w:autoSpaceDE w:val="0"/>
        <w:autoSpaceDN w:val="0"/>
        <w:adjustRightInd w:val="0"/>
        <w:spacing w:after="0" w:line="240" w:lineRule="auto"/>
        <w:jc w:val="both"/>
        <w:rPr>
          <w:rFonts w:cs="Calibri"/>
          <w:lang w:eastAsia="fr-FR"/>
        </w:rPr>
      </w:pPr>
    </w:p>
    <w:p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 xml:space="preserve">Les projets peuvent être réfléchis de façon pluriannuelle </w:t>
      </w:r>
      <w:r w:rsidR="004E0FA7" w:rsidRPr="004E0FA7">
        <w:rPr>
          <w:rFonts w:cs="Calibri"/>
          <w:lang w:eastAsia="fr-FR"/>
        </w:rPr>
        <w:t xml:space="preserve">sur deux années civiles consécutives </w:t>
      </w:r>
      <w:r w:rsidRPr="00E61E8B">
        <w:rPr>
          <w:rFonts w:cs="Calibri"/>
          <w:lang w:eastAsia="fr-FR"/>
        </w:rPr>
        <w:t>en vue d’être reconduits ou de développer des volets complémentaires lors des exercices ultérieurs, lorsque les résultats s’avèreront probants.</w:t>
      </w:r>
    </w:p>
    <w:p w:rsidR="00D84990" w:rsidRDefault="00D84990" w:rsidP="00D84990">
      <w:pPr>
        <w:tabs>
          <w:tab w:val="left" w:pos="3969"/>
        </w:tabs>
        <w:spacing w:after="0"/>
        <w:jc w:val="both"/>
        <w:outlineLvl w:val="0"/>
        <w:rPr>
          <w:rFonts w:cs="Calibri"/>
          <w:szCs w:val="24"/>
        </w:rPr>
      </w:pPr>
    </w:p>
    <w:p w:rsidR="005811FC" w:rsidRPr="00BF1F71" w:rsidRDefault="005811FC" w:rsidP="005811FC">
      <w:pPr>
        <w:tabs>
          <w:tab w:val="left" w:pos="3969"/>
        </w:tabs>
        <w:spacing w:after="0"/>
        <w:jc w:val="both"/>
        <w:outlineLvl w:val="0"/>
        <w:rPr>
          <w:rFonts w:cs="Calibri"/>
          <w:szCs w:val="24"/>
        </w:rPr>
      </w:pPr>
      <w:r w:rsidRPr="00BF1F71">
        <w:rPr>
          <w:rFonts w:cs="Calibri"/>
          <w:szCs w:val="24"/>
        </w:rPr>
        <w:t>Le promoteur devra présenter explicitement la répartition des crédits qu’il demande, entre 2023 et 2024, au regard de l’action qu’il déploiera.</w:t>
      </w:r>
    </w:p>
    <w:p w:rsidR="00AF7824" w:rsidRDefault="00AF7824" w:rsidP="000F4059">
      <w:pPr>
        <w:spacing w:after="0" w:line="240" w:lineRule="auto"/>
        <w:jc w:val="both"/>
        <w:rPr>
          <w:rFonts w:cs="Calibri"/>
          <w:lang w:eastAsia="fr-FR"/>
        </w:rPr>
      </w:pPr>
    </w:p>
    <w:p w:rsidR="005811FC" w:rsidRPr="00F20EDA" w:rsidRDefault="005811FC" w:rsidP="000F4059">
      <w:pPr>
        <w:spacing w:after="0" w:line="240" w:lineRule="auto"/>
        <w:jc w:val="both"/>
        <w:rPr>
          <w:rFonts w:cs="Calibri"/>
          <w:lang w:eastAsia="fr-FR"/>
        </w:rPr>
      </w:pPr>
    </w:p>
    <w:p w:rsidR="0004064F" w:rsidRPr="007C6715" w:rsidRDefault="0004064F" w:rsidP="0004064F">
      <w:pPr>
        <w:pStyle w:val="Style1"/>
        <w:spacing w:before="120" w:after="0" w:afterAutospacing="0"/>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p>
    <w:p w:rsidR="00F20EDA" w:rsidRDefault="00F20EDA" w:rsidP="00F20EDA">
      <w:pPr>
        <w:spacing w:after="0" w:line="240" w:lineRule="auto"/>
        <w:jc w:val="both"/>
        <w:rPr>
          <w:rFonts w:cs="Calibri"/>
          <w:lang w:eastAsia="fr-FR"/>
        </w:rPr>
      </w:pPr>
    </w:p>
    <w:p w:rsidR="0004064F" w:rsidRDefault="0004064F" w:rsidP="00120596">
      <w:pPr>
        <w:spacing w:after="0" w:line="240" w:lineRule="auto"/>
        <w:jc w:val="both"/>
        <w:rPr>
          <w:rFonts w:cs="Calibri"/>
          <w:lang w:eastAsia="fr-FR"/>
        </w:rPr>
      </w:pPr>
      <w:r w:rsidRPr="00D66A41">
        <w:rPr>
          <w:rFonts w:cs="Calibri"/>
          <w:lang w:eastAsia="fr-FR"/>
        </w:rPr>
        <w:t xml:space="preserve">Chaque action locale se doit d’être en conformité avec les recommandations de la HAS </w:t>
      </w:r>
      <w:r w:rsidR="005026F5">
        <w:rPr>
          <w:rFonts w:cs="Calibri"/>
          <w:lang w:eastAsia="fr-FR"/>
        </w:rPr>
        <w:t xml:space="preserve">et des textes </w:t>
      </w:r>
      <w:r w:rsidR="004E56FC">
        <w:rPr>
          <w:rFonts w:cs="Calibri"/>
          <w:lang w:eastAsia="fr-FR"/>
        </w:rPr>
        <w:t xml:space="preserve">réglementaires </w:t>
      </w:r>
      <w:r w:rsidRPr="00D66A41">
        <w:rPr>
          <w:rFonts w:cs="Calibri"/>
          <w:lang w:eastAsia="fr-FR"/>
        </w:rPr>
        <w:t>en vigueur pour chaque dépistage des cancers</w:t>
      </w:r>
      <w:r w:rsidR="0052602B" w:rsidRPr="00D66A41">
        <w:rPr>
          <w:rFonts w:cs="Calibri"/>
          <w:lang w:eastAsia="fr-FR"/>
        </w:rPr>
        <w:t>.</w:t>
      </w:r>
    </w:p>
    <w:p w:rsidR="00711BE5" w:rsidRDefault="00711BE5" w:rsidP="00120596">
      <w:pPr>
        <w:spacing w:after="0" w:line="240" w:lineRule="auto"/>
        <w:jc w:val="both"/>
        <w:rPr>
          <w:rFonts w:cs="Calibri"/>
          <w:lang w:eastAsia="fr-FR"/>
        </w:rPr>
      </w:pPr>
    </w:p>
    <w:p w:rsidR="009B68AA" w:rsidRDefault="009B68AA">
      <w:pPr>
        <w:spacing w:after="0" w:line="240" w:lineRule="auto"/>
        <w:rPr>
          <w:rFonts w:eastAsia="Times New Roman"/>
          <w:caps/>
          <w:color w:val="243F60"/>
          <w:spacing w:val="15"/>
          <w:lang w:eastAsia="fr-FR"/>
        </w:rPr>
      </w:pPr>
    </w:p>
    <w:p w:rsidR="00E34922" w:rsidRPr="007C6715" w:rsidRDefault="00E34922" w:rsidP="00E34922">
      <w:pPr>
        <w:pStyle w:val="Style1"/>
        <w:spacing w:before="120" w:after="0" w:afterAutospacing="0"/>
        <w:rPr>
          <w:sz w:val="22"/>
          <w:szCs w:val="22"/>
        </w:rPr>
      </w:pPr>
      <w:r>
        <w:rPr>
          <w:sz w:val="22"/>
          <w:szCs w:val="22"/>
        </w:rPr>
        <w:t>RESPECT DE LA REGLEMENTATION RGPD</w:t>
      </w:r>
      <w:r w:rsidR="00245F86">
        <w:rPr>
          <w:sz w:val="22"/>
          <w:szCs w:val="22"/>
        </w:rPr>
        <w:t xml:space="preserve"> </w:t>
      </w:r>
    </w:p>
    <w:p w:rsidR="00E34922" w:rsidRDefault="00E34922" w:rsidP="00A91069">
      <w:pPr>
        <w:spacing w:before="60" w:after="0" w:line="240" w:lineRule="auto"/>
        <w:jc w:val="both"/>
      </w:pPr>
    </w:p>
    <w:p w:rsidR="009E2D72" w:rsidRDefault="009E2D72" w:rsidP="009E2D72">
      <w:pPr>
        <w:spacing w:before="60"/>
        <w:jc w:val="both"/>
      </w:pPr>
      <w:r>
        <w:t>Les fichiers fournis par l’Assurance Maladie aux CRCDC incluant les données des assurés n’ont pas vocation à être utilisés dans un cadre autre que celui fixé par l’arrêté du 23 mars 2018.</w:t>
      </w:r>
    </w:p>
    <w:p w:rsidR="009E2D72" w:rsidRPr="00242770" w:rsidRDefault="009E2D72" w:rsidP="009E2D72">
      <w:pPr>
        <w:spacing w:before="60"/>
        <w:jc w:val="both"/>
      </w:pPr>
      <w:r>
        <w:lastRenderedPageBreak/>
        <w:t>Si le projet prévoit des échanges de données relatives aux assurés dans le cadre de la mise en œuvre de l’action</w:t>
      </w:r>
      <w:r w:rsidRPr="00242770">
        <w:rPr>
          <w:strike/>
        </w:rPr>
        <w:t>,</w:t>
      </w:r>
      <w:r w:rsidRPr="00242770">
        <w:t xml:space="preserve"> le responsable de traitement qui a déterminé les finalités et moyens de l’action doit justifier d’une base légale pour la mettre en œuvre, apprécier la nécessité et proportionnalité et s’assurer de la cohérence avec les actions nationales.</w:t>
      </w:r>
    </w:p>
    <w:p w:rsidR="00E34922" w:rsidRDefault="00E34922" w:rsidP="00A91069">
      <w:pPr>
        <w:spacing w:before="60" w:after="0" w:line="240" w:lineRule="auto"/>
        <w:jc w:val="both"/>
      </w:pPr>
    </w:p>
    <w:p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rsidR="005E68FB" w:rsidRPr="002951C7" w:rsidRDefault="005E68FB" w:rsidP="00057AC0">
      <w:pPr>
        <w:spacing w:after="0" w:line="240" w:lineRule="auto"/>
        <w:ind w:left="12" w:hanging="12"/>
        <w:jc w:val="both"/>
        <w:rPr>
          <w:rFonts w:cs="Calibri"/>
          <w:lang w:eastAsia="fr-FR"/>
        </w:rPr>
      </w:pPr>
      <w:r w:rsidRPr="002951C7">
        <w:rPr>
          <w:rFonts w:cs="Calibri"/>
          <w:lang w:eastAsia="fr-FR"/>
        </w:rPr>
        <w:t>Il est rappelé que la recherche de cofinanceurs est vivement préconisée.</w:t>
      </w:r>
    </w:p>
    <w:p w:rsidR="005E68FB" w:rsidRPr="002951C7" w:rsidRDefault="005E68FB" w:rsidP="002951C7">
      <w:pPr>
        <w:spacing w:after="0" w:line="240" w:lineRule="auto"/>
        <w:jc w:val="both"/>
        <w:rPr>
          <w:rFonts w:eastAsia="Times New Roman" w:cs="Calibri"/>
          <w:lang w:eastAsia="fr-FR"/>
        </w:rPr>
      </w:pPr>
    </w:p>
    <w:p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du projet tels que définis dans le cahier des charges, soit relèvent d’autres financements ou ne correspondent pas aux missions dévolues à l’Assurance Maladie).</w:t>
      </w:r>
    </w:p>
    <w:p w:rsidR="002951C7" w:rsidRDefault="002951C7" w:rsidP="00F27E1E">
      <w:pPr>
        <w:spacing w:after="120" w:line="240" w:lineRule="auto"/>
        <w:jc w:val="both"/>
        <w:rPr>
          <w:rFonts w:eastAsia="Times New Roman" w:cs="Calibri"/>
          <w:lang w:eastAsia="fr-FR"/>
        </w:rPr>
      </w:pPr>
    </w:p>
    <w:p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Pr>
          <w:rFonts w:asciiTheme="minorHAnsi" w:hAnsiTheme="minorHAnsi" w:cstheme="minorHAnsi"/>
          <w:b/>
          <w:sz w:val="24"/>
          <w:lang w:eastAsia="fr-FR"/>
        </w:rPr>
        <w:t>V</w:t>
      </w:r>
      <w:r w:rsidR="00596FC5">
        <w:rPr>
          <w:rFonts w:asciiTheme="minorHAnsi" w:hAnsiTheme="minorHAnsi" w:cstheme="minorHAnsi"/>
          <w:b/>
          <w:sz w:val="24"/>
          <w:lang w:eastAsia="fr-FR"/>
        </w:rPr>
        <w:t xml:space="preserve">acations des </w:t>
      </w:r>
      <w:r w:rsidR="002951C7" w:rsidRPr="002951C7">
        <w:rPr>
          <w:rFonts w:asciiTheme="minorHAnsi" w:hAnsiTheme="minorHAnsi" w:cstheme="minorHAnsi"/>
          <w:b/>
          <w:sz w:val="24"/>
          <w:lang w:eastAsia="fr-FR"/>
        </w:rPr>
        <w:t>intervenants externes à l’Assurance Maladie</w:t>
      </w:r>
    </w:p>
    <w:p w:rsidR="00476D39" w:rsidRDefault="00476D39" w:rsidP="002951C7">
      <w:pPr>
        <w:spacing w:after="0" w:line="264" w:lineRule="auto"/>
        <w:rPr>
          <w:lang w:eastAsia="fr-FR"/>
        </w:rPr>
      </w:pPr>
    </w:p>
    <w:p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Les vacations comprennent le temps de :</w:t>
      </w:r>
    </w:p>
    <w:p w:rsidR="00BD471C" w:rsidRPr="00BD471C" w:rsidRDefault="00BD471C" w:rsidP="00BD471C">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préparation de l’action,</w:t>
      </w:r>
    </w:p>
    <w:p w:rsidR="00BD471C" w:rsidRPr="00BD471C" w:rsidRDefault="00BD471C" w:rsidP="00BD471C">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coordination,</w:t>
      </w:r>
    </w:p>
    <w:p w:rsidR="00BD471C" w:rsidRPr="00BD471C" w:rsidRDefault="00BD471C" w:rsidP="00BD471C">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trajet (finançable à la condition qu’il soit justifié au regard de l’action déposée),</w:t>
      </w:r>
    </w:p>
    <w:p w:rsidR="00BD471C" w:rsidRPr="00BD471C" w:rsidRDefault="00BD471C" w:rsidP="00BD471C">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d’animation.</w:t>
      </w:r>
    </w:p>
    <w:p w:rsidR="00BD471C" w:rsidRPr="00BD471C" w:rsidRDefault="00BD471C" w:rsidP="00BD471C">
      <w:pPr>
        <w:pStyle w:val="Paragraphedeliste"/>
        <w:spacing w:after="0"/>
        <w:ind w:left="0"/>
        <w:jc w:val="both"/>
        <w:rPr>
          <w:rFonts w:eastAsia="Times New Roman" w:cs="Calibri"/>
          <w:lang w:eastAsia="fr-FR"/>
        </w:rPr>
      </w:pPr>
    </w:p>
    <w:p w:rsidR="00BD471C" w:rsidRPr="00BD471C" w:rsidRDefault="00BD471C" w:rsidP="00BD471C">
      <w:pPr>
        <w:pStyle w:val="Sansinterligne"/>
        <w:jc w:val="both"/>
        <w:rPr>
          <w:rFonts w:eastAsia="Times New Roman" w:cs="Calibri"/>
          <w:lang w:eastAsia="fr-FR"/>
        </w:rPr>
      </w:pPr>
      <w:r w:rsidRPr="00BD471C">
        <w:rPr>
          <w:rFonts w:eastAsia="Times New Roman" w:cs="Calibri"/>
          <w:lang w:eastAsia="fr-FR"/>
        </w:rPr>
        <w:t>Le nombre de vacations et le nombre d’intervenants doivent être «réalistes» au regard de l’action déposée : les Caisses évalueront la cohérence entre ces vacations et nombres d’intervenants, au regard des publics visés et des ambitions de l’action.</w:t>
      </w:r>
    </w:p>
    <w:p w:rsidR="00BD471C" w:rsidRPr="00BD471C" w:rsidRDefault="00BD471C" w:rsidP="00BD471C">
      <w:pPr>
        <w:pStyle w:val="Sansinterligne"/>
        <w:jc w:val="both"/>
        <w:rPr>
          <w:rFonts w:eastAsia="Times New Roman" w:cs="Calibri"/>
          <w:lang w:eastAsia="fr-FR"/>
        </w:rPr>
      </w:pPr>
    </w:p>
    <w:p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rsidR="00BD471C" w:rsidRPr="00BD471C" w:rsidRDefault="00BD471C" w:rsidP="00BD471C">
      <w:pPr>
        <w:pStyle w:val="Sansinterligne"/>
        <w:jc w:val="both"/>
        <w:rPr>
          <w:rFonts w:eastAsia="Times New Roman" w:cs="Calibri"/>
          <w:lang w:eastAsia="fr-FR"/>
        </w:rPr>
      </w:pPr>
    </w:p>
    <w:p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personnes salariées d’une structure, les vacations ne peuvent rémunérer que des activités directement en lien avec l’action.</w:t>
      </w:r>
    </w:p>
    <w:p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Les vacations n’ont pas vocation à financer des dépenses de fonctionnement pérennes de la structure ni à se substituer à d’autres financements.</w:t>
      </w:r>
    </w:p>
    <w:p w:rsidR="00BD471C" w:rsidRPr="00BD471C" w:rsidRDefault="00BD471C" w:rsidP="00BD471C">
      <w:pPr>
        <w:pStyle w:val="Sansinterligne"/>
        <w:spacing w:line="276" w:lineRule="auto"/>
        <w:jc w:val="both"/>
        <w:rPr>
          <w:rFonts w:eastAsia="Times New Roman" w:cs="Calibri"/>
          <w:lang w:eastAsia="fr-FR"/>
        </w:rPr>
      </w:pPr>
    </w:p>
    <w:p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professionnels libéraux, les vacations rémunèrent leur activité exclusivement dédiée à l’action en dehors de leur activité libérale au sein de leur cabinet.</w:t>
      </w:r>
    </w:p>
    <w:p w:rsidR="00BD471C" w:rsidRPr="00BD471C" w:rsidRDefault="00BD471C" w:rsidP="00BD471C">
      <w:pPr>
        <w:pStyle w:val="Paragraphedeliste"/>
        <w:spacing w:after="0"/>
        <w:ind w:left="0"/>
        <w:jc w:val="both"/>
        <w:rPr>
          <w:rFonts w:eastAsia="Times New Roman" w:cs="Calibri"/>
          <w:lang w:eastAsia="fr-FR"/>
        </w:rPr>
      </w:pPr>
    </w:p>
    <w:p w:rsid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 xml:space="preserve">Il reviendra à l’instructeur de la demande de déterminer la pertinence de l’intervention des différents professionnels impliqués, au regard de l’action proposée en valorisant les métiers de la santé </w:t>
      </w:r>
      <w:r w:rsidRPr="00BD471C">
        <w:rPr>
          <w:rFonts w:eastAsia="Times New Roman" w:cs="Calibri"/>
          <w:lang w:eastAsia="fr-FR"/>
        </w:rPr>
        <w:lastRenderedPageBreak/>
        <w:t>publique et l’articulation des métiers du soin, de la promotion de la santé et du médico-social (exemple : coordinateur de projets – animateur de santé publique …).</w:t>
      </w:r>
    </w:p>
    <w:p w:rsidR="00BD471C" w:rsidRPr="00BD471C" w:rsidRDefault="00BD471C" w:rsidP="00BD471C">
      <w:pPr>
        <w:pStyle w:val="Paragraphedeliste"/>
        <w:spacing w:after="0"/>
        <w:ind w:left="0"/>
        <w:jc w:val="both"/>
        <w:rPr>
          <w:rFonts w:eastAsia="Times New Roman" w:cs="Calibri"/>
          <w:lang w:eastAsia="fr-FR"/>
        </w:rPr>
      </w:pPr>
    </w:p>
    <w:p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Une attention particulière sera portée sur la cohérence des intervenants et les recommandations HAS en vigueur.</w:t>
      </w:r>
    </w:p>
    <w:p w:rsidR="00BD471C" w:rsidRPr="00BD471C" w:rsidRDefault="00BD471C" w:rsidP="00BD471C">
      <w:pPr>
        <w:pStyle w:val="Paragraphedeliste"/>
        <w:spacing w:after="0"/>
        <w:ind w:left="0"/>
        <w:jc w:val="both"/>
        <w:rPr>
          <w:rFonts w:eastAsia="Times New Roman" w:cs="Calibri"/>
          <w:lang w:eastAsia="fr-FR"/>
        </w:rPr>
      </w:pPr>
    </w:p>
    <w:p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Exclusions du financement : vacations réalisées dans le cadre de dispositifs nationaux déjà financés (Mon parcours Psy – MRTC – Article 51 – ACI …).</w:t>
      </w:r>
    </w:p>
    <w:p w:rsidR="00BD471C" w:rsidRPr="00BD471C" w:rsidRDefault="00BD471C" w:rsidP="00BD471C">
      <w:pPr>
        <w:pStyle w:val="Paragraphedeliste"/>
        <w:spacing w:after="0"/>
        <w:rPr>
          <w:rFonts w:eastAsia="Times New Roman" w:cs="Calibri"/>
          <w:lang w:eastAsia="fr-FR"/>
        </w:rPr>
      </w:pPr>
    </w:p>
    <w:tbl>
      <w:tblPr>
        <w:tblW w:w="8649" w:type="dxa"/>
        <w:tblCellMar>
          <w:left w:w="0" w:type="dxa"/>
          <w:right w:w="0" w:type="dxa"/>
        </w:tblCellMar>
        <w:tblLook w:val="0420" w:firstRow="1" w:lastRow="0" w:firstColumn="0" w:lastColumn="0" w:noHBand="0" w:noVBand="1"/>
      </w:tblPr>
      <w:tblGrid>
        <w:gridCol w:w="4255"/>
        <w:gridCol w:w="4394"/>
      </w:tblGrid>
      <w:tr w:rsidR="00BD471C" w:rsidRPr="00BD471C" w:rsidTr="00BD471C">
        <w:trPr>
          <w:trHeight w:val="617"/>
        </w:trPr>
        <w:tc>
          <w:tcPr>
            <w:tcW w:w="42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BD471C" w:rsidRPr="00BD471C" w:rsidRDefault="00BD471C" w:rsidP="00BD471C">
            <w:pPr>
              <w:pStyle w:val="Paragraphedeliste"/>
              <w:ind w:left="-142"/>
              <w:jc w:val="center"/>
              <w:rPr>
                <w:rFonts w:eastAsia="Times New Roman" w:cs="Calibri"/>
                <w:lang w:eastAsia="fr-FR"/>
              </w:rPr>
            </w:pPr>
            <w:r w:rsidRPr="00BD471C">
              <w:rPr>
                <w:rFonts w:eastAsia="Times New Roman" w:cs="Calibri"/>
                <w:lang w:eastAsia="fr-FR"/>
              </w:rPr>
              <w:t>Professionnels non-salariés</w:t>
            </w:r>
          </w:p>
        </w:tc>
        <w:tc>
          <w:tcPr>
            <w:tcW w:w="43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BD471C" w:rsidRPr="00BD471C" w:rsidRDefault="00BD471C" w:rsidP="00BD471C">
            <w:pPr>
              <w:pStyle w:val="Paragraphedeliste"/>
              <w:ind w:left="-2"/>
              <w:jc w:val="center"/>
              <w:rPr>
                <w:rFonts w:eastAsia="Times New Roman" w:cs="Calibri"/>
                <w:lang w:eastAsia="fr-FR"/>
              </w:rPr>
            </w:pPr>
            <w:r w:rsidRPr="00BD471C">
              <w:rPr>
                <w:rFonts w:eastAsia="Times New Roman" w:cs="Calibri"/>
                <w:lang w:eastAsia="fr-FR"/>
              </w:rPr>
              <w:t>Personnels salariés de la structure intervenante</w:t>
            </w:r>
          </w:p>
        </w:tc>
      </w:tr>
      <w:tr w:rsidR="00BD471C" w:rsidRPr="00BD471C" w:rsidTr="00BD471C">
        <w:trPr>
          <w:trHeight w:val="3285"/>
        </w:trPr>
        <w:tc>
          <w:tcPr>
            <w:tcW w:w="4255"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tcPr>
          <w:p w:rsidR="00BD471C" w:rsidRPr="00BD471C" w:rsidRDefault="00BD471C">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 praticiens </w:t>
            </w:r>
          </w:p>
          <w:p w:rsidR="00BD471C" w:rsidRPr="00BD471C" w:rsidRDefault="00BD471C">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 auxiliaires médicaux signataires d’une convention par l’Assurance Maladie</w:t>
            </w:r>
          </w:p>
          <w:p w:rsidR="00BD471C" w:rsidRPr="00BD471C" w:rsidRDefault="00BD471C">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autres professionnels et/ou non professionnels de santé</w:t>
            </w:r>
          </w:p>
          <w:p w:rsidR="00BD471C" w:rsidRPr="00BD471C" w:rsidRDefault="00BD471C">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p>
        </w:tc>
        <w:tc>
          <w:tcPr>
            <w:tcW w:w="4394"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vAlign w:val="center"/>
            <w:hideMark/>
          </w:tcPr>
          <w:p w:rsidR="00BD471C" w:rsidRPr="00BD471C" w:rsidRDefault="00BD471C">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w:t>
            </w:r>
          </w:p>
        </w:tc>
      </w:tr>
    </w:tbl>
    <w:p w:rsidR="00BD471C" w:rsidRDefault="00BD471C" w:rsidP="0057300D">
      <w:pPr>
        <w:spacing w:after="0" w:line="240" w:lineRule="auto"/>
        <w:jc w:val="both"/>
        <w:rPr>
          <w:rFonts w:eastAsia="Times New Roman"/>
          <w:b/>
          <w:u w:val="single"/>
          <w:lang w:eastAsia="fr-FR"/>
        </w:rPr>
      </w:pPr>
    </w:p>
    <w:p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Ind w:w="781" w:type="dxa"/>
        <w:tblLook w:val="04A0" w:firstRow="1" w:lastRow="0" w:firstColumn="1" w:lastColumn="0" w:noHBand="0" w:noVBand="1"/>
      </w:tblPr>
      <w:tblGrid>
        <w:gridCol w:w="9006"/>
      </w:tblGrid>
      <w:tr w:rsidR="00133D62" w:rsidRPr="00133D62" w:rsidTr="00673111">
        <w:trPr>
          <w:jc w:val="center"/>
        </w:trPr>
        <w:tc>
          <w:tcPr>
            <w:tcW w:w="9006" w:type="dxa"/>
          </w:tcPr>
          <w:p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rsidR="006D240D" w:rsidRPr="00133D62" w:rsidRDefault="006D240D" w:rsidP="006D240D">
      <w:pPr>
        <w:spacing w:after="0" w:line="240" w:lineRule="auto"/>
        <w:jc w:val="both"/>
      </w:pPr>
    </w:p>
    <w:p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rsidR="006D240D"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p w:rsidR="00242770" w:rsidRDefault="00242770" w:rsidP="004F626F">
      <w:pPr>
        <w:spacing w:before="120" w:line="264" w:lineRule="auto"/>
        <w:jc w:val="both"/>
        <w:rPr>
          <w:rFonts w:asciiTheme="minorHAnsi" w:hAnsiTheme="minorHAnsi" w:cstheme="minorHAnsi"/>
        </w:rPr>
      </w:pPr>
    </w:p>
    <w:tbl>
      <w:tblPr>
        <w:tblStyle w:val="Grilledutableau"/>
        <w:tblW w:w="9006" w:type="dxa"/>
        <w:jc w:val="center"/>
        <w:tblInd w:w="781" w:type="dxa"/>
        <w:tblLook w:val="04A0" w:firstRow="1" w:lastRow="0" w:firstColumn="1" w:lastColumn="0" w:noHBand="0" w:noVBand="1"/>
      </w:tblPr>
      <w:tblGrid>
        <w:gridCol w:w="9006"/>
      </w:tblGrid>
      <w:tr w:rsidR="00133D62" w:rsidRPr="00133D62" w:rsidTr="00133D62">
        <w:trPr>
          <w:jc w:val="center"/>
        </w:trPr>
        <w:tc>
          <w:tcPr>
            <w:tcW w:w="9006" w:type="dxa"/>
          </w:tcPr>
          <w:p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rsidR="00E9175F" w:rsidRPr="00133D62" w:rsidRDefault="00E9175F" w:rsidP="00283764">
      <w:pPr>
        <w:spacing w:after="0" w:line="264" w:lineRule="auto"/>
        <w:jc w:val="both"/>
        <w:rPr>
          <w:rFonts w:eastAsia="Times New Roman"/>
          <w:lang w:eastAsia="fr-FR"/>
        </w:rPr>
      </w:pPr>
    </w:p>
    <w:p w:rsidR="00E9175F" w:rsidRPr="00133D62" w:rsidRDefault="00E9175F" w:rsidP="00283764">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 :</w:t>
      </w:r>
    </w:p>
    <w:p w:rsidR="0017734E" w:rsidRPr="00133D62" w:rsidRDefault="0017734E" w:rsidP="0017734E">
      <w:pPr>
        <w:spacing w:before="120" w:after="0" w:line="240" w:lineRule="auto"/>
        <w:jc w:val="both"/>
        <w:rPr>
          <w:rFonts w:eastAsia="Times New Roman"/>
          <w:lang w:eastAsia="fr-FR"/>
        </w:rPr>
      </w:pPr>
      <w:r>
        <w:rPr>
          <w:rFonts w:eastAsia="Times New Roman"/>
          <w:lang w:eastAsia="fr-FR"/>
        </w:rPr>
        <w:t>Les f</w:t>
      </w:r>
      <w:r w:rsidRPr="00133D62">
        <w:rPr>
          <w:rFonts w:eastAsia="Times New Roman"/>
          <w:lang w:eastAsia="fr-FR"/>
        </w:rPr>
        <w:t>ormations</w:t>
      </w:r>
      <w:r>
        <w:rPr>
          <w:rFonts w:eastAsia="Times New Roman"/>
          <w:lang w:eastAsia="fr-FR"/>
        </w:rPr>
        <w:t xml:space="preserve"> </w:t>
      </w:r>
      <w:r w:rsidRPr="00133D62">
        <w:rPr>
          <w:rFonts w:eastAsia="Times New Roman"/>
          <w:lang w:eastAsia="fr-FR"/>
        </w:rPr>
        <w:t>en direction des personnes relais (autres que les Professionnels de Santé)</w:t>
      </w:r>
      <w:r>
        <w:rPr>
          <w:rFonts w:eastAsia="Times New Roman"/>
          <w:lang w:eastAsia="fr-FR"/>
        </w:rPr>
        <w:t xml:space="preserve"> devront être </w:t>
      </w:r>
      <w:r w:rsidRPr="00133D62">
        <w:rPr>
          <w:rFonts w:eastAsia="Times New Roman"/>
          <w:b/>
          <w:lang w:eastAsia="fr-FR"/>
        </w:rPr>
        <w:t>en lien direct</w:t>
      </w:r>
      <w:r w:rsidRPr="00133D62">
        <w:rPr>
          <w:rFonts w:eastAsia="Times New Roman"/>
          <w:lang w:eastAsia="fr-FR"/>
        </w:rPr>
        <w:t xml:space="preserve"> avec la prévention relative aux dépistages des cancers du sein, colorectal et du col de l’utérus</w:t>
      </w:r>
      <w:r>
        <w:rPr>
          <w:rFonts w:eastAsia="Times New Roman"/>
          <w:lang w:eastAsia="fr-FR"/>
        </w:rPr>
        <w:t xml:space="preserve"> et</w:t>
      </w:r>
      <w:r w:rsidRPr="00133D62">
        <w:rPr>
          <w:rFonts w:eastAsia="Times New Roman"/>
          <w:lang w:eastAsia="fr-FR"/>
        </w:rPr>
        <w:t xml:space="preserve"> </w:t>
      </w:r>
      <w:r>
        <w:rPr>
          <w:rFonts w:eastAsia="Times New Roman"/>
          <w:lang w:eastAsia="fr-FR"/>
        </w:rPr>
        <w:t>dispensées par des professionnels de santé</w:t>
      </w:r>
      <w:r w:rsidRPr="00133D62">
        <w:rPr>
          <w:rFonts w:eastAsia="Times New Roman"/>
          <w:lang w:eastAsia="fr-FR"/>
        </w:rPr>
        <w:t>.</w:t>
      </w:r>
    </w:p>
    <w:p w:rsidR="00E9175F" w:rsidRPr="00133D62" w:rsidRDefault="00E9175F" w:rsidP="00133D62">
      <w:pPr>
        <w:spacing w:after="0" w:line="240" w:lineRule="auto"/>
        <w:jc w:val="both"/>
        <w:rPr>
          <w:rFonts w:eastAsia="Times New Roman"/>
          <w:lang w:eastAsia="fr-FR"/>
        </w:rPr>
      </w:pPr>
    </w:p>
    <w:p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lastRenderedPageBreak/>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Pr>
          <w:szCs w:val="24"/>
        </w:rPr>
        <w:t>)</w:t>
      </w:r>
      <w:r w:rsidRPr="000B34C3">
        <w:rPr>
          <w:szCs w:val="24"/>
        </w:rPr>
        <w:t> ;</w:t>
      </w:r>
    </w:p>
    <w:p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288"/>
      </w:tblGrid>
      <w:tr w:rsidR="00133D62" w:rsidRPr="00133D62" w:rsidTr="00673111">
        <w:tc>
          <w:tcPr>
            <w:tcW w:w="9550" w:type="dxa"/>
          </w:tcPr>
          <w:p w:rsidR="00E9175F" w:rsidRPr="00133D62" w:rsidRDefault="00E9175F" w:rsidP="00D559E6">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w:t>
            </w:r>
          </w:p>
        </w:tc>
      </w:tr>
    </w:tbl>
    <w:p w:rsidR="00E9175F" w:rsidRDefault="00E9175F" w:rsidP="00E9175F">
      <w:pPr>
        <w:spacing w:after="0" w:line="264" w:lineRule="auto"/>
        <w:jc w:val="both"/>
        <w:rPr>
          <w:rFonts w:eastAsia="Times New Roman"/>
          <w:lang w:eastAsia="fr-FR"/>
        </w:rPr>
      </w:pPr>
    </w:p>
    <w:p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il sera fait appel aux ressources loco-régionales.</w:t>
      </w:r>
    </w:p>
    <w:p w:rsidR="00775AF7" w:rsidRPr="00133D62" w:rsidRDefault="00775AF7" w:rsidP="00E9175F">
      <w:pPr>
        <w:spacing w:after="0" w:line="264" w:lineRule="auto"/>
        <w:jc w:val="both"/>
        <w:rPr>
          <w:rFonts w:eastAsia="Times New Roman"/>
          <w:lang w:eastAsia="fr-FR"/>
        </w:rPr>
      </w:pPr>
    </w:p>
    <w:p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rsidR="00016920" w:rsidRPr="00133D62" w:rsidRDefault="00016920" w:rsidP="00133D62">
      <w:pPr>
        <w:spacing w:after="0" w:line="240" w:lineRule="auto"/>
        <w:rPr>
          <w:rFonts w:eastAsia="Times New Roman"/>
          <w:b/>
          <w:lang w:eastAsia="fr-FR"/>
        </w:rPr>
      </w:pPr>
    </w:p>
    <w:p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288"/>
      </w:tblGrid>
      <w:tr w:rsidR="00133D62" w:rsidRPr="00133D62" w:rsidTr="00673111">
        <w:tc>
          <w:tcPr>
            <w:tcW w:w="9550" w:type="dxa"/>
          </w:tcPr>
          <w:p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rsidR="002A3CEA" w:rsidRPr="00133D62" w:rsidRDefault="002A3CEA" w:rsidP="002A3CEA">
      <w:pPr>
        <w:spacing w:after="0" w:line="240" w:lineRule="auto"/>
        <w:rPr>
          <w:rFonts w:eastAsia="Times New Roman"/>
          <w:lang w:eastAsia="fr-FR"/>
        </w:rPr>
      </w:pPr>
    </w:p>
    <w:p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de l’INCa</w:t>
      </w:r>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rsidR="002A3CEA" w:rsidRPr="00326C49" w:rsidRDefault="002A3CEA" w:rsidP="002A3CEA">
      <w:pPr>
        <w:spacing w:after="0" w:line="240" w:lineRule="auto"/>
        <w:rPr>
          <w:rFonts w:eastAsia="Times New Roman"/>
          <w:lang w:eastAsia="fr-FR"/>
        </w:rPr>
      </w:pPr>
    </w:p>
    <w:p w:rsidR="002A3CEA" w:rsidRPr="00133D62" w:rsidRDefault="002A3CEA" w:rsidP="002A3CEA">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w:t>
      </w:r>
    </w:p>
    <w:p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rsidR="002A3CEA" w:rsidRPr="00133D62" w:rsidRDefault="002A3CEA" w:rsidP="00133D62">
      <w:pPr>
        <w:spacing w:before="60" w:after="0" w:line="240" w:lineRule="auto"/>
        <w:jc w:val="both"/>
        <w:rPr>
          <w:rFonts w:eastAsia="Times New Roman"/>
          <w:b/>
          <w:lang w:eastAsia="fr-FR"/>
        </w:rPr>
      </w:pPr>
    </w:p>
    <w:p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supports de promotion d’une structure.</w:t>
      </w:r>
      <w:r w:rsidRPr="00F831BA">
        <w:rPr>
          <w:rFonts w:ascii="Times New Roman" w:eastAsia="Times New Roman" w:hAnsi="Times New Roman"/>
          <w:sz w:val="20"/>
          <w:szCs w:val="20"/>
          <w:lang w:eastAsia="fr-FR"/>
        </w:rPr>
        <w:t xml:space="preserve"> </w:t>
      </w:r>
    </w:p>
    <w:p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p>
    <w:p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p>
    <w:p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rsidTr="00673111">
        <w:trPr>
          <w:trHeight w:val="296"/>
        </w:trPr>
        <w:tc>
          <w:tcPr>
            <w:tcW w:w="9180" w:type="dxa"/>
          </w:tcPr>
          <w:p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rsidR="00CB1C8E" w:rsidRPr="00133D62" w:rsidRDefault="00CB1C8E" w:rsidP="00CB1C8E">
      <w:pPr>
        <w:contextualSpacing/>
        <w:jc w:val="both"/>
        <w:rPr>
          <w:rFonts w:cs="Calibri"/>
          <w:b/>
        </w:rPr>
      </w:pPr>
    </w:p>
    <w:p w:rsidR="00B039F3" w:rsidRPr="00CB1C8E" w:rsidRDefault="00B039F3" w:rsidP="00B039F3">
      <w:pPr>
        <w:spacing w:after="0" w:line="240" w:lineRule="auto"/>
        <w:jc w:val="both"/>
        <w:rPr>
          <w:rFonts w:eastAsia="Times New Roman"/>
          <w:b/>
          <w:lang w:eastAsia="fr-FR"/>
        </w:rPr>
      </w:pPr>
      <w:r w:rsidRPr="00CB1C8E">
        <w:rPr>
          <w:rFonts w:eastAsia="Times New Roman"/>
          <w:b/>
          <w:u w:val="single"/>
          <w:lang w:eastAsia="fr-FR"/>
        </w:rPr>
        <w:t>Eligibles au financement</w:t>
      </w:r>
      <w:r w:rsidRPr="00CB1C8E">
        <w:rPr>
          <w:rFonts w:eastAsia="Times New Roman"/>
          <w:b/>
          <w:lang w:eastAsia="fr-FR"/>
        </w:rPr>
        <w:t xml:space="preserve"> dans les conditions suivantes</w:t>
      </w:r>
      <w:r w:rsidR="00CB1C8E">
        <w:rPr>
          <w:rFonts w:eastAsia="Times New Roman"/>
          <w:b/>
          <w:lang w:eastAsia="fr-FR"/>
        </w:rPr>
        <w:t xml:space="preserve"> </w:t>
      </w:r>
      <w:r w:rsidRPr="00CB1C8E">
        <w:rPr>
          <w:rFonts w:eastAsia="Times New Roman"/>
          <w:b/>
          <w:lang w:eastAsia="fr-FR"/>
        </w:rPr>
        <w:t>:</w:t>
      </w:r>
    </w:p>
    <w:p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Pr="00F831BA">
        <w:rPr>
          <w:rFonts w:ascii="Times New Roman" w:eastAsia="Times New Roman" w:hAnsi="Times New Roman"/>
          <w:sz w:val="20"/>
          <w:szCs w:val="20"/>
          <w:lang w:eastAsia="fr-FR"/>
        </w:rPr>
        <w:t>.</w:t>
      </w:r>
    </w:p>
    <w:p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p>
    <w:p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D559E6">
        <w:rPr>
          <w:rFonts w:eastAsia="Times New Roman"/>
          <w:lang w:eastAsia="fr-FR"/>
        </w:rPr>
        <w:t xml:space="preserve"> </w:t>
      </w:r>
      <w:r w:rsidR="006643E9">
        <w:rPr>
          <w:rFonts w:eastAsia="Times New Roman"/>
          <w:lang w:eastAsia="fr-FR"/>
        </w:rPr>
        <w:t>déposé</w:t>
      </w:r>
      <w:r w:rsidRPr="00F831BA">
        <w:rPr>
          <w:rFonts w:eastAsia="Times New Roman"/>
          <w:lang w:eastAsia="fr-FR"/>
        </w:rPr>
        <w:t>.</w:t>
      </w:r>
    </w:p>
    <w:p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rsidTr="00673111">
        <w:trPr>
          <w:trHeight w:val="296"/>
        </w:trPr>
        <w:tc>
          <w:tcPr>
            <w:tcW w:w="9180" w:type="dxa"/>
          </w:tcPr>
          <w:p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rsidR="00CB1C8E" w:rsidRDefault="00CB1C8E" w:rsidP="00AA2C89">
      <w:pPr>
        <w:spacing w:after="0" w:line="240" w:lineRule="auto"/>
        <w:contextualSpacing/>
        <w:jc w:val="both"/>
        <w:rPr>
          <w:rFonts w:cs="Calibri"/>
          <w:b/>
        </w:rPr>
      </w:pPr>
    </w:p>
    <w:p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8E2AAF" w:rsidRPr="00AA2C89" w:rsidRDefault="00E9175F" w:rsidP="00AA2C89">
      <w:pPr>
        <w:pStyle w:val="Sansinterligne"/>
        <w:spacing w:line="276" w:lineRule="auto"/>
        <w:jc w:val="both"/>
        <w:rPr>
          <w:i/>
        </w:rPr>
      </w:pPr>
      <w:r w:rsidRPr="00447046">
        <w:rPr>
          <w:rFonts w:eastAsia="Times New Roman" w:cs="Calibri"/>
          <w:lang w:eastAsia="fr-FR"/>
        </w:rPr>
        <w:lastRenderedPageBreak/>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’agissant d’actions de Santé Publique, la mise à disposition de locaux, si elle est nécessaire, doit être sollicitée à titre gracieux auprès des collectivités territoriales, associations etc</w:t>
      </w:r>
      <w:r w:rsidR="00AA2C89" w:rsidRPr="00AA2C89">
        <w:rPr>
          <w:i/>
        </w:rPr>
        <w:t xml:space="preserve">) </w:t>
      </w:r>
      <w:r w:rsidR="008E2AAF" w:rsidRPr="00AA2C89">
        <w:rPr>
          <w:i/>
        </w:rPr>
        <w:t>…</w:t>
      </w:r>
      <w:r w:rsidR="001C378B">
        <w:rPr>
          <w:i/>
        </w:rPr>
        <w:t xml:space="preserve"> .</w:t>
      </w:r>
    </w:p>
    <w:p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AA2C89" w:rsidRPr="00133D62" w:rsidTr="000C449E">
        <w:trPr>
          <w:trHeight w:val="296"/>
        </w:trPr>
        <w:tc>
          <w:tcPr>
            <w:tcW w:w="9180" w:type="dxa"/>
          </w:tcPr>
          <w:p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rsidR="00AA2C89" w:rsidRDefault="00AA2C89" w:rsidP="00AA2C89">
      <w:pPr>
        <w:spacing w:after="0" w:line="240" w:lineRule="auto"/>
        <w:contextualSpacing/>
        <w:jc w:val="both"/>
        <w:rPr>
          <w:rFonts w:cs="Calibri"/>
          <w:b/>
        </w:rPr>
      </w:pPr>
    </w:p>
    <w:p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selfie…</w:t>
      </w:r>
      <w:r w:rsidR="00B22272">
        <w:rPr>
          <w:rFonts w:eastAsia="Times New Roman" w:cs="Calibri"/>
          <w:lang w:eastAsia="fr-FR"/>
        </w:rPr>
        <w:t>*</w:t>
      </w:r>
      <w:r w:rsidRPr="00425A42">
        <w:rPr>
          <w:rFonts w:eastAsia="Times New Roman" w:cs="Calibri"/>
          <w:lang w:eastAsia="fr-FR"/>
        </w:rPr>
        <w:t>)</w:t>
      </w:r>
      <w:r w:rsidR="00746F94">
        <w:rPr>
          <w:rFonts w:eastAsia="Times New Roman" w:cs="Calibri"/>
          <w:lang w:eastAsia="fr-FR"/>
        </w:rPr>
        <w:t>,</w:t>
      </w:r>
      <w:r w:rsidRPr="00425A42">
        <w:rPr>
          <w:rFonts w:eastAsia="Times New Roman" w:cs="Calibri"/>
          <w:lang w:eastAsia="fr-FR"/>
        </w:rPr>
        <w:t xml:space="preserve"> </w:t>
      </w:r>
    </w:p>
    <w:p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rsidR="00EA2E95" w:rsidRPr="00425A42" w:rsidRDefault="00EA2E95"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 xml:space="preserve">les frais de matériels (barnums, tentes, salles, chapiteaux) pour les évènements de type salons, </w:t>
      </w:r>
      <w:r w:rsidR="00AA2C89" w:rsidRPr="00425A42">
        <w:rPr>
          <w:rFonts w:eastAsia="Times New Roman" w:cs="Calibri"/>
          <w:lang w:eastAsia="fr-FR"/>
        </w:rPr>
        <w:t xml:space="preserve">expos, </w:t>
      </w:r>
      <w:r w:rsidRPr="00425A42">
        <w:rPr>
          <w:rFonts w:eastAsia="Times New Roman" w:cs="Calibri"/>
          <w:lang w:eastAsia="fr-FR"/>
        </w:rPr>
        <w:t>forums ou ciné/théâtre-débat,</w:t>
      </w:r>
    </w:p>
    <w:p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D774F" w:rsidRPr="00133D62" w:rsidTr="00F831BA">
        <w:trPr>
          <w:trHeight w:val="296"/>
        </w:trPr>
        <w:tc>
          <w:tcPr>
            <w:tcW w:w="9180" w:type="dxa"/>
          </w:tcPr>
          <w:p w:rsidR="004D774F" w:rsidRPr="00D919D8" w:rsidRDefault="004D774F" w:rsidP="00673111">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Actions en partenariat avec des laboratoires, des marques commerciales</w:t>
            </w:r>
          </w:p>
        </w:tc>
      </w:tr>
    </w:tbl>
    <w:p w:rsidR="00F831BA" w:rsidRDefault="00F831BA" w:rsidP="00F831BA">
      <w:pPr>
        <w:spacing w:after="0" w:line="240" w:lineRule="auto"/>
        <w:contextualSpacing/>
        <w:jc w:val="both"/>
        <w:rPr>
          <w:rFonts w:cs="Calibri"/>
          <w:b/>
        </w:rPr>
      </w:pPr>
    </w:p>
    <w:p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rsidR="004D774F" w:rsidRPr="00133D62" w:rsidRDefault="004D774F" w:rsidP="004D774F">
      <w:pPr>
        <w:spacing w:after="0" w:line="240" w:lineRule="auto"/>
        <w:rPr>
          <w:rFonts w:eastAsia="Times New Roman"/>
          <w:lang w:eastAsia="fr-FR"/>
        </w:rPr>
      </w:pPr>
      <w:r w:rsidRPr="00133D62">
        <w:rPr>
          <w:rFonts w:eastAsia="Times New Roman"/>
          <w:lang w:eastAsia="fr-FR"/>
        </w:rPr>
        <w:t xml:space="preserve">Il n’est pas  possible pour l’Assurance Maladie d’être associée ou d’avoir des actions en commun avec des laboratoires ou des marques commerciales (conflit d’intérêt). </w:t>
      </w:r>
    </w:p>
    <w:p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F831BA" w:rsidRPr="00133D62" w:rsidTr="000C449E">
        <w:trPr>
          <w:trHeight w:val="296"/>
        </w:trPr>
        <w:tc>
          <w:tcPr>
            <w:tcW w:w="9180" w:type="dxa"/>
          </w:tcPr>
          <w:p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rsidR="00F831BA" w:rsidRDefault="00F831BA" w:rsidP="00F831BA">
      <w:pPr>
        <w:spacing w:after="0" w:line="240" w:lineRule="auto"/>
        <w:contextualSpacing/>
        <w:jc w:val="both"/>
        <w:rPr>
          <w:rFonts w:cs="Calibri"/>
          <w:b/>
        </w:rPr>
      </w:pPr>
    </w:p>
    <w:p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rsidR="004D774F" w:rsidRPr="00CB1C8E" w:rsidRDefault="004D774F" w:rsidP="00425A42">
      <w:pPr>
        <w:spacing w:after="0" w:line="240" w:lineRule="auto"/>
        <w:jc w:val="both"/>
        <w:rPr>
          <w:rFonts w:eastAsia="Times New Roman"/>
          <w:lang w:eastAsia="fr-FR"/>
        </w:rPr>
      </w:pPr>
      <w:r>
        <w:rPr>
          <w:rFonts w:eastAsia="Times New Roman"/>
          <w:lang w:eastAsia="fr-FR"/>
        </w:rPr>
        <w:t>L</w:t>
      </w:r>
      <w:r w:rsidRPr="00CB1C8E">
        <w:rPr>
          <w:rFonts w:eastAsia="Times New Roman"/>
          <w:lang w:eastAsia="fr-FR"/>
        </w:rPr>
        <w:t>e financement de ces actions institutionnelles relève des entreprises elles-mêmes</w:t>
      </w:r>
      <w:r>
        <w:rPr>
          <w:rFonts w:eastAsia="Times New Roman"/>
          <w:lang w:eastAsia="fr-FR"/>
        </w:rPr>
        <w:t>.</w:t>
      </w:r>
    </w:p>
    <w:p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rsidTr="000C449E">
        <w:trPr>
          <w:trHeight w:val="296"/>
        </w:trPr>
        <w:tc>
          <w:tcPr>
            <w:tcW w:w="9180" w:type="dxa"/>
          </w:tcPr>
          <w:p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rsidR="004D774F" w:rsidRDefault="004D774F" w:rsidP="00E9175F">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746F94">
        <w:rPr>
          <w:rFonts w:eastAsia="Times New Roman" w:cs="Calibri"/>
          <w:lang w:eastAsia="fr-FR"/>
        </w:rPr>
        <w:t>,</w:t>
      </w:r>
      <w:r w:rsidRPr="00447046">
        <w:rPr>
          <w:rFonts w:eastAsia="Times New Roman" w:cs="Calibri"/>
          <w:i/>
          <w:lang w:eastAsia="fr-FR"/>
        </w:rPr>
        <w:t>…</w:t>
      </w:r>
      <w:r w:rsidR="00746F94">
        <w:rPr>
          <w:rFonts w:eastAsia="Times New Roman" w:cs="Calibri"/>
          <w:i/>
          <w:lang w:eastAsia="fr-FR"/>
        </w:rPr>
        <w:t>*</w:t>
      </w:r>
      <w:r w:rsidRPr="00447046">
        <w:rPr>
          <w:rFonts w:eastAsia="Times New Roman" w:cs="Calibri"/>
          <w:i/>
          <w:lang w:eastAsia="fr-FR"/>
        </w:rPr>
        <w:t>)</w:t>
      </w:r>
      <w:r w:rsidR="00646620">
        <w:rPr>
          <w:rFonts w:eastAsia="Times New Roman" w:cs="Calibri"/>
          <w:strike/>
          <w:lang w:eastAsia="fr-FR"/>
        </w:rPr>
        <w:t>.</w:t>
      </w:r>
    </w:p>
    <w:p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*La liste ne peut pas, par définition, être exhaustive.</w:t>
      </w:r>
    </w:p>
    <w:p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rsidTr="000C449E">
        <w:trPr>
          <w:trHeight w:val="296"/>
        </w:trPr>
        <w:tc>
          <w:tcPr>
            <w:tcW w:w="9180" w:type="dxa"/>
          </w:tcPr>
          <w:p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rsidR="00425A42" w:rsidRDefault="00425A42" w:rsidP="00F27E1E">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 xml:space="preserve">petits déjeuners, déjeuners et autres frais de </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p>
    <w:p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pas, par définition, être exhaustive.</w:t>
      </w:r>
    </w:p>
    <w:p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425A42" w:rsidTr="000C449E">
        <w:trPr>
          <w:trHeight w:val="296"/>
        </w:trPr>
        <w:tc>
          <w:tcPr>
            <w:tcW w:w="9180" w:type="dxa"/>
          </w:tcPr>
          <w:p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rsidR="00425A42" w:rsidRDefault="00425A42" w:rsidP="00425A42">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rsidR="004F626F" w:rsidRDefault="004F626F" w:rsidP="00BD6B05">
      <w:pPr>
        <w:spacing w:after="0" w:line="240" w:lineRule="auto"/>
      </w:pPr>
    </w:p>
    <w:p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lastRenderedPageBreak/>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rsidR="002D59E5" w:rsidRDefault="002D59E5" w:rsidP="002D59E5">
      <w:pPr>
        <w:pStyle w:val="Default"/>
        <w:jc w:val="both"/>
      </w:pPr>
    </w:p>
    <w:p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entraînera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rsidR="002D59E5" w:rsidRDefault="002D59E5" w:rsidP="002D59E5">
      <w:pPr>
        <w:pStyle w:val="Default"/>
        <w:jc w:val="both"/>
        <w:rPr>
          <w:sz w:val="22"/>
        </w:rPr>
      </w:pPr>
    </w:p>
    <w:p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rsidR="002D59E5" w:rsidRDefault="002D59E5" w:rsidP="002D59E5">
      <w:pPr>
        <w:pStyle w:val="Default"/>
        <w:jc w:val="both"/>
        <w:rPr>
          <w:sz w:val="22"/>
          <w:szCs w:val="22"/>
        </w:rPr>
      </w:pPr>
    </w:p>
    <w:p w:rsidR="002D59E5" w:rsidRDefault="002D59E5" w:rsidP="002D59E5">
      <w:pPr>
        <w:pStyle w:val="Default"/>
        <w:jc w:val="both"/>
        <w:rPr>
          <w:sz w:val="22"/>
          <w:szCs w:val="22"/>
        </w:rPr>
      </w:pPr>
      <w:r>
        <w:rPr>
          <w:sz w:val="22"/>
          <w:szCs w:val="22"/>
        </w:rPr>
        <w:t>L’évaluation des actions comprendra, dans la mesure du possible une évaluation de :</w:t>
      </w:r>
    </w:p>
    <w:p w:rsidR="002D59E5" w:rsidRDefault="002D59E5" w:rsidP="002D59E5">
      <w:pPr>
        <w:pStyle w:val="Default"/>
        <w:numPr>
          <w:ilvl w:val="0"/>
          <w:numId w:val="2"/>
        </w:numPr>
        <w:jc w:val="both"/>
        <w:rPr>
          <w:sz w:val="22"/>
          <w:szCs w:val="22"/>
        </w:rPr>
      </w:pPr>
      <w:r>
        <w:rPr>
          <w:sz w:val="22"/>
          <w:szCs w:val="22"/>
        </w:rPr>
        <w:t>processus : évaluation de la mise en œuvre effective de l’action mise en place,</w:t>
      </w:r>
    </w:p>
    <w:p w:rsidR="0017734E" w:rsidRDefault="002D59E5" w:rsidP="0017734E">
      <w:pPr>
        <w:pStyle w:val="Default"/>
        <w:numPr>
          <w:ilvl w:val="0"/>
          <w:numId w:val="2"/>
        </w:numPr>
        <w:jc w:val="both"/>
        <w:rPr>
          <w:sz w:val="22"/>
          <w:szCs w:val="22"/>
        </w:rPr>
      </w:pPr>
      <w:r>
        <w:rPr>
          <w:sz w:val="22"/>
          <w:szCs w:val="22"/>
        </w:rPr>
        <w:t xml:space="preserve">résultat : évaluation </w:t>
      </w:r>
      <w:r w:rsidR="0017734E">
        <w:rPr>
          <w:sz w:val="22"/>
          <w:szCs w:val="22"/>
        </w:rPr>
        <w:t xml:space="preserve">qualitative et quantitative des </w:t>
      </w:r>
      <w:r w:rsidR="0017734E" w:rsidRPr="00EB22E8">
        <w:rPr>
          <w:sz w:val="22"/>
          <w:szCs w:val="22"/>
        </w:rPr>
        <w:t xml:space="preserve">effets réels </w:t>
      </w:r>
      <w:r w:rsidR="0017734E">
        <w:rPr>
          <w:sz w:val="22"/>
          <w:szCs w:val="22"/>
        </w:rPr>
        <w:t>de l’action (changement de comportements, réalisation des dépistages pendant ou suite à l’action, etc…).</w:t>
      </w:r>
    </w:p>
    <w:p w:rsidR="002D59E5" w:rsidRDefault="002D59E5" w:rsidP="002D59E5">
      <w:pPr>
        <w:pStyle w:val="Default"/>
        <w:jc w:val="both"/>
        <w:rPr>
          <w:sz w:val="22"/>
          <w:szCs w:val="22"/>
        </w:rPr>
      </w:pPr>
    </w:p>
    <w:p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rsidR="002D59E5" w:rsidRDefault="002D59E5" w:rsidP="00662AB6">
      <w:pPr>
        <w:pStyle w:val="Default"/>
        <w:numPr>
          <w:ilvl w:val="0"/>
          <w:numId w:val="42"/>
        </w:numPr>
        <w:spacing w:before="60"/>
        <w:jc w:val="both"/>
        <w:rPr>
          <w:sz w:val="22"/>
          <w:szCs w:val="22"/>
        </w:rPr>
      </w:pPr>
      <w:r>
        <w:rPr>
          <w:sz w:val="22"/>
          <w:szCs w:val="22"/>
        </w:rPr>
        <w:t>le nombre de participants (indiquer si possible le ratio par rapport au nombre de personnes prévues dans le projet)</w:t>
      </w:r>
      <w:r w:rsidRPr="0006580B">
        <w:rPr>
          <w:sz w:val="22"/>
          <w:szCs w:val="22"/>
        </w:rPr>
        <w:t>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d’une sensibilisation (personnes ayant bénéficié de l’entièreté du discours de sensibilisation)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d’une consultation de sensibilisation ou d’accompagnement vers un dépistage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 acte de dépistage (à l’occasion de l’action) ;</w:t>
      </w:r>
    </w:p>
    <w:p w:rsidR="002D59E5" w:rsidRDefault="002D59E5" w:rsidP="00662AB6">
      <w:pPr>
        <w:pStyle w:val="Default"/>
        <w:numPr>
          <w:ilvl w:val="0"/>
          <w:numId w:val="42"/>
        </w:numPr>
        <w:spacing w:before="60"/>
        <w:jc w:val="both"/>
        <w:rPr>
          <w:sz w:val="22"/>
          <w:szCs w:val="22"/>
        </w:rPr>
      </w:pPr>
      <w:r>
        <w:rPr>
          <w:sz w:val="22"/>
          <w:szCs w:val="22"/>
        </w:rPr>
        <w:t>les éléments permettant d’apprécier un changement de comportement ;</w:t>
      </w:r>
    </w:p>
    <w:p w:rsidR="002D59E5" w:rsidRDefault="002D59E5" w:rsidP="00662AB6">
      <w:pPr>
        <w:pStyle w:val="Default"/>
        <w:numPr>
          <w:ilvl w:val="0"/>
          <w:numId w:val="42"/>
        </w:numPr>
        <w:spacing w:before="60"/>
        <w:jc w:val="both"/>
        <w:rPr>
          <w:sz w:val="22"/>
          <w:szCs w:val="22"/>
        </w:rPr>
      </w:pPr>
      <w:r w:rsidRPr="00C35FA8">
        <w:rPr>
          <w:sz w:val="22"/>
          <w:szCs w:val="22"/>
        </w:rPr>
        <w:t>la satisfaction globale des participants</w:t>
      </w:r>
      <w:r>
        <w:rPr>
          <w:sz w:val="22"/>
          <w:szCs w:val="22"/>
        </w:rPr>
        <w:t xml:space="preserve"> à l’aide de questionnaires par exemple.</w:t>
      </w:r>
    </w:p>
    <w:p w:rsidR="002D59E5" w:rsidRDefault="002D59E5" w:rsidP="002D59E5">
      <w:pPr>
        <w:pStyle w:val="Default"/>
        <w:spacing w:before="60"/>
        <w:jc w:val="both"/>
        <w:rPr>
          <w:sz w:val="22"/>
          <w:szCs w:val="22"/>
        </w:rPr>
      </w:pPr>
    </w:p>
    <w:p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rsidR="002D59E5" w:rsidRPr="00BC5CD1" w:rsidRDefault="002D59E5" w:rsidP="00662AB6">
      <w:pPr>
        <w:pStyle w:val="Default"/>
        <w:numPr>
          <w:ilvl w:val="0"/>
          <w:numId w:val="43"/>
        </w:numPr>
        <w:spacing w:before="60"/>
        <w:jc w:val="both"/>
        <w:rPr>
          <w:sz w:val="22"/>
          <w:szCs w:val="22"/>
        </w:rPr>
      </w:pPr>
      <w:r w:rsidRPr="00BC5CD1">
        <w:rPr>
          <w:sz w:val="22"/>
          <w:szCs w:val="22"/>
        </w:rPr>
        <w:t>mesurer l’atteinte du/des public(s) cible(s)</w:t>
      </w:r>
      <w:r>
        <w:rPr>
          <w:sz w:val="22"/>
          <w:szCs w:val="22"/>
        </w:rPr>
        <w:t> ;</w:t>
      </w:r>
    </w:p>
    <w:p w:rsidR="002D59E5" w:rsidRPr="00BC5CD1" w:rsidRDefault="002D59E5" w:rsidP="00662AB6">
      <w:pPr>
        <w:pStyle w:val="Default"/>
        <w:numPr>
          <w:ilvl w:val="0"/>
          <w:numId w:val="43"/>
        </w:numPr>
        <w:spacing w:before="60"/>
        <w:jc w:val="both"/>
        <w:rPr>
          <w:sz w:val="22"/>
          <w:szCs w:val="22"/>
        </w:rPr>
      </w:pPr>
      <w:r w:rsidRPr="00BC5CD1">
        <w:rPr>
          <w:sz w:val="22"/>
          <w:szCs w:val="22"/>
        </w:rPr>
        <w:t>mesurer les écarts entre ce qui était prévu et ce qui a été réalisé (mobilisation des ressources, réalisation des activités, atteinte des objectifs…)</w:t>
      </w:r>
      <w:r>
        <w:rPr>
          <w:sz w:val="22"/>
          <w:szCs w:val="22"/>
        </w:rPr>
        <w:t> ;</w:t>
      </w:r>
    </w:p>
    <w:p w:rsidR="002D59E5" w:rsidRDefault="002D59E5" w:rsidP="00662AB6">
      <w:pPr>
        <w:pStyle w:val="Default"/>
        <w:numPr>
          <w:ilvl w:val="0"/>
          <w:numId w:val="43"/>
        </w:numPr>
        <w:spacing w:before="60"/>
        <w:jc w:val="both"/>
        <w:rPr>
          <w:sz w:val="22"/>
          <w:szCs w:val="22"/>
        </w:rPr>
      </w:pPr>
      <w:r w:rsidRPr="00BC5CD1">
        <w:rPr>
          <w:sz w:val="22"/>
          <w:szCs w:val="22"/>
        </w:rPr>
        <w:t>expliquer les écarts constatés, identifier les conséquences imprévues de l’action, formuler des pistes d’amélioration</w:t>
      </w:r>
      <w:r w:rsidR="0017734E">
        <w:rPr>
          <w:sz w:val="22"/>
          <w:szCs w:val="22"/>
        </w:rPr>
        <w:t> ;</w:t>
      </w:r>
    </w:p>
    <w:p w:rsidR="0017734E" w:rsidRDefault="00832F5E" w:rsidP="00662AB6">
      <w:pPr>
        <w:pStyle w:val="Default"/>
        <w:numPr>
          <w:ilvl w:val="0"/>
          <w:numId w:val="43"/>
        </w:numPr>
        <w:spacing w:before="60"/>
        <w:jc w:val="both"/>
        <w:rPr>
          <w:sz w:val="22"/>
          <w:szCs w:val="22"/>
        </w:rPr>
      </w:pPr>
      <w:r>
        <w:rPr>
          <w:sz w:val="22"/>
          <w:szCs w:val="22"/>
        </w:rPr>
        <w:t xml:space="preserve">mesurer </w:t>
      </w:r>
      <w:r w:rsidR="00A10976">
        <w:rPr>
          <w:sz w:val="22"/>
          <w:szCs w:val="22"/>
        </w:rPr>
        <w:t>l’efficience de l’action</w:t>
      </w:r>
      <w:r w:rsidR="0017734E">
        <w:rPr>
          <w:sz w:val="22"/>
          <w:szCs w:val="22"/>
        </w:rPr>
        <w:t> ;</w:t>
      </w:r>
    </w:p>
    <w:p w:rsidR="00A10976" w:rsidRPr="0017734E" w:rsidRDefault="0017734E" w:rsidP="0017734E">
      <w:pPr>
        <w:pStyle w:val="Default"/>
        <w:numPr>
          <w:ilvl w:val="0"/>
          <w:numId w:val="43"/>
        </w:numPr>
        <w:spacing w:before="60"/>
        <w:jc w:val="both"/>
        <w:rPr>
          <w:sz w:val="22"/>
          <w:szCs w:val="22"/>
        </w:rPr>
      </w:pPr>
      <w:r>
        <w:rPr>
          <w:sz w:val="22"/>
          <w:szCs w:val="22"/>
        </w:rPr>
        <w:t>mesurer l’impact de l’action en termes de réalisation des dépistages.</w:t>
      </w:r>
    </w:p>
    <w:p w:rsidR="002D59E5" w:rsidRPr="00D66A41" w:rsidRDefault="002D59E5" w:rsidP="002D59E5">
      <w:pPr>
        <w:pStyle w:val="Default"/>
        <w:jc w:val="both"/>
        <w:rPr>
          <w:sz w:val="22"/>
          <w:szCs w:val="22"/>
        </w:rPr>
      </w:pPr>
    </w:p>
    <w:p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rsidR="002D59E5" w:rsidRPr="0026651E" w:rsidRDefault="002D59E5" w:rsidP="002D59E5">
      <w:pPr>
        <w:spacing w:after="0" w:line="240" w:lineRule="auto"/>
        <w:jc w:val="both"/>
        <w:rPr>
          <w:lang w:eastAsia="fr-FR"/>
        </w:rPr>
      </w:pPr>
      <w:r w:rsidRPr="0026651E">
        <w:rPr>
          <w:lang w:eastAsia="fr-FR"/>
        </w:rPr>
        <w:t>Il s’agit notamment :</w:t>
      </w:r>
    </w:p>
    <w:p w:rsidR="002D59E5" w:rsidRPr="0026651E" w:rsidRDefault="002D59E5" w:rsidP="00662AB6">
      <w:pPr>
        <w:numPr>
          <w:ilvl w:val="0"/>
          <w:numId w:val="44"/>
        </w:numPr>
        <w:spacing w:after="0" w:line="240" w:lineRule="auto"/>
        <w:jc w:val="both"/>
        <w:rPr>
          <w:lang w:eastAsia="fr-FR"/>
        </w:rPr>
      </w:pPr>
      <w:r w:rsidRPr="0026651E">
        <w:rPr>
          <w:lang w:eastAsia="fr-FR"/>
        </w:rPr>
        <w:t>d’un bilan incluant des éléments d’évaluation quantitatifs et qualitatifs,</w:t>
      </w:r>
    </w:p>
    <w:p w:rsidR="002D59E5" w:rsidRPr="0026651E" w:rsidRDefault="002D59E5" w:rsidP="00662AB6">
      <w:pPr>
        <w:numPr>
          <w:ilvl w:val="0"/>
          <w:numId w:val="44"/>
        </w:numPr>
        <w:spacing w:after="0" w:line="240" w:lineRule="auto"/>
        <w:jc w:val="both"/>
        <w:rPr>
          <w:lang w:eastAsia="fr-FR"/>
        </w:rPr>
      </w:pPr>
      <w:r w:rsidRPr="0026651E">
        <w:rPr>
          <w:lang w:eastAsia="fr-FR"/>
        </w:rPr>
        <w:t>d’un bilan comptable et les justificatifs de dépenses.</w:t>
      </w:r>
    </w:p>
    <w:p w:rsidR="00832F5E" w:rsidRDefault="002D59E5" w:rsidP="00EC314E">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rsidR="00832F5E" w:rsidRDefault="00832F5E" w:rsidP="00EC314E">
      <w:pPr>
        <w:spacing w:after="0" w:line="240" w:lineRule="auto"/>
        <w:jc w:val="both"/>
        <w:rPr>
          <w:lang w:eastAsia="fr-FR"/>
        </w:rPr>
      </w:pPr>
    </w:p>
    <w:p w:rsidR="009B68AA" w:rsidRDefault="009B68AA" w:rsidP="00EC314E">
      <w:pPr>
        <w:spacing w:after="0" w:line="240" w:lineRule="auto"/>
        <w:jc w:val="both"/>
        <w:rPr>
          <w:rFonts w:ascii="Cambria" w:eastAsia="Times New Roman" w:hAnsi="Cambria"/>
          <w:b/>
          <w:bCs/>
          <w:iCs/>
          <w:color w:val="1F497D" w:themeColor="text2"/>
          <w:sz w:val="24"/>
          <w:szCs w:val="28"/>
        </w:rPr>
      </w:pPr>
      <w:r>
        <w:rPr>
          <w:i/>
          <w:color w:val="1F497D" w:themeColor="text2"/>
          <w:sz w:val="24"/>
        </w:rPr>
        <w:br w:type="page"/>
      </w:r>
    </w:p>
    <w:p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p>
    <w:p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rsidR="004B6788" w:rsidRPr="00C93847" w:rsidRDefault="004B6788" w:rsidP="00662AB6">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rsidR="004B6788" w:rsidRPr="00C93847" w:rsidRDefault="004B6788" w:rsidP="00BC47C6">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de projets est implanté, en veillant à respecter strictement les règles suivantes afin de faciliter leur traitement : </w:t>
      </w:r>
    </w:p>
    <w:p w:rsidR="008E2AAF" w:rsidRDefault="004B6788" w:rsidP="00662AB6">
      <w:pPr>
        <w:numPr>
          <w:ilvl w:val="0"/>
          <w:numId w:val="18"/>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en un seul envoi pour l’ensemble des projets si le promoteur porte plusieurs projets : ex ne pas annuler et remplacer un projet, ne pas procéder à des demandes « au fil de l’eau», ne pas adresser de demandes de financement complémentaires</w:t>
      </w:r>
      <w:r w:rsidR="0049016A">
        <w:rPr>
          <w:rFonts w:eastAsia="Times New Roman"/>
          <w:color w:val="000000"/>
          <w:lang w:eastAsia="fr-FR"/>
        </w:rPr>
        <w:t> ;</w:t>
      </w:r>
    </w:p>
    <w:p w:rsidR="004B6788" w:rsidRPr="00C93847" w:rsidRDefault="004B6788" w:rsidP="00662AB6">
      <w:pPr>
        <w:numPr>
          <w:ilvl w:val="0"/>
          <w:numId w:val="18"/>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dans le respect strict des dates d’envoi fixées par la Caisse.</w:t>
      </w:r>
    </w:p>
    <w:p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 xml:space="preserve">Remplissage de la fiche projet (cf annexe): </w:t>
      </w:r>
    </w:p>
    <w:p w:rsidR="004B6788" w:rsidRPr="00C93847" w:rsidRDefault="004B6788" w:rsidP="00AE5DF9">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Il doit respecter les règles suivantes :</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une seule fiche par projet envoyée par le promoteur</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la fiche projet décline chacune des actions constituant le projet</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les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la fiche projet ne doit pas être modifiée par le promoteur ou la Caisse dans sa structuration</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 xml:space="preserve">le descriptif des actions </w:t>
      </w:r>
      <w:r w:rsidR="001C09FB">
        <w:rPr>
          <w:rFonts w:eastAsia="Times New Roman"/>
          <w:color w:val="000000"/>
          <w:lang w:eastAsia="fr-FR"/>
        </w:rPr>
        <w:t xml:space="preserve">et des postes budgétaires </w:t>
      </w:r>
      <w:r w:rsidRPr="00C93847">
        <w:rPr>
          <w:rFonts w:eastAsia="Times New Roman"/>
          <w:color w:val="000000"/>
          <w:lang w:eastAsia="fr-FR"/>
        </w:rPr>
        <w:t>doit être suffisamment précis pour l’analyse et l’instruction aux niveaux local et régional ainsi que pour la validation au niveau national</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le tableau des postes de dépenses doit être conservé en l’état et dûment rempli de façon détaillée en fonction des actions en respectant les règles des critères d’attribution des crédits</w:t>
      </w:r>
      <w:r w:rsidR="0049016A">
        <w:rPr>
          <w:rFonts w:eastAsia="Times New Roman"/>
          <w:color w:val="000000"/>
          <w:lang w:eastAsia="fr-FR"/>
        </w:rPr>
        <w:t xml:space="preserve"> </w:t>
      </w:r>
      <w:r w:rsidRPr="00C93847">
        <w:rPr>
          <w:rFonts w:eastAsia="Times New Roman"/>
          <w:color w:val="000000"/>
          <w:lang w:eastAsia="fr-FR"/>
        </w:rPr>
        <w:t>;</w:t>
      </w:r>
    </w:p>
    <w:p w:rsidR="00794E47" w:rsidRPr="0049016A"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 xml:space="preserve">les crédits sollicités doivent être précisés et détaillés de façon à permettre, s’agissant de l’utilisation de fonds publics, une visibilité poste de dépense par poste de dépense et doivent être différenciés des autres cofinancements éventuellement demandés. </w:t>
      </w:r>
      <w:r w:rsidR="00794E47" w:rsidRPr="00794E47">
        <w:rPr>
          <w:rFonts w:cs="Calibri"/>
        </w:rPr>
        <w:t xml:space="preserve">Il est rappelé que </w:t>
      </w:r>
      <w:r w:rsidR="00794E47" w:rsidRPr="005C6E08">
        <w:rPr>
          <w:rFonts w:cs="Calibri"/>
          <w:b/>
        </w:rPr>
        <w:t>les crédits non utilisés</w:t>
      </w:r>
      <w:r w:rsidR="00794E47" w:rsidRPr="005C6E08">
        <w:rPr>
          <w:rFonts w:cs="Calibri"/>
        </w:rPr>
        <w:t xml:space="preserve"> devront </w:t>
      </w:r>
      <w:r w:rsidR="00794E47" w:rsidRPr="00640552">
        <w:rPr>
          <w:rFonts w:cs="Calibri"/>
        </w:rPr>
        <w:t>être restitués sous peine de poursuite et d’inéligibilité du promoteur concerné lors du prochain appel à projets de l’Assurance Maladie</w:t>
      </w:r>
      <w:r w:rsidR="0049016A">
        <w:rPr>
          <w:rFonts w:cs="Calibri"/>
        </w:rPr>
        <w:t>.</w:t>
      </w:r>
    </w:p>
    <w:p w:rsidR="00425A42" w:rsidRDefault="00425A42">
      <w:pPr>
        <w:spacing w:after="0" w:line="240" w:lineRule="auto"/>
      </w:pPr>
    </w:p>
    <w:p w:rsidR="001D1DE6" w:rsidRDefault="001D1DE6">
      <w:pPr>
        <w:spacing w:after="0" w:line="240" w:lineRule="auto"/>
      </w:pPr>
      <w:r>
        <w:br w:type="page"/>
      </w:r>
    </w:p>
    <w:p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Les critères suivants doivent être respectés : </w:t>
      </w:r>
    </w:p>
    <w:p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s’inscrire dans le champ des actions et publics prioritaires retenus ;</w:t>
      </w:r>
    </w:p>
    <w:p w:rsidR="00E84EA5" w:rsidRPr="00F824EE"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A2092F">
        <w:rPr>
          <w:rFonts w:cs="Calibri"/>
          <w:color w:val="1F497D" w:themeColor="text2"/>
        </w:rPr>
        <w:t>- prioriser des actions de proximité;</w:t>
      </w:r>
    </w:p>
    <w:p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0B34C3">
        <w:rPr>
          <w:rFonts w:cs="Calibri"/>
          <w:color w:val="1F497D" w:themeColor="text2"/>
        </w:rPr>
        <w:t>c</w:t>
      </w:r>
      <w:r w:rsidR="000B34C3" w:rsidRPr="00E84EA5">
        <w:rPr>
          <w:rFonts w:cs="Calibri"/>
          <w:color w:val="1F497D" w:themeColor="text2"/>
        </w:rPr>
        <w:t xml:space="preserve">haque </w:t>
      </w:r>
      <w:r w:rsidRPr="00E84EA5">
        <w:rPr>
          <w:rFonts w:cs="Calibri"/>
          <w:color w:val="1F497D" w:themeColor="text2"/>
        </w:rPr>
        <w:t>action se doit d’être en conformité avec les recommandations de la HAS et des textes réglementaires en vigueur po</w:t>
      </w:r>
      <w:r>
        <w:rPr>
          <w:rFonts w:cs="Calibri"/>
          <w:color w:val="1F497D" w:themeColor="text2"/>
        </w:rPr>
        <w:t>ur chaque dépistage des cancers ;</w:t>
      </w:r>
    </w:p>
    <w:p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0B34C3">
        <w:rPr>
          <w:rFonts w:cs="Calibri"/>
          <w:color w:val="1F497D" w:themeColor="text2"/>
        </w:rPr>
        <w:t xml:space="preserve">utiliser </w:t>
      </w:r>
      <w:r>
        <w:rPr>
          <w:rFonts w:cs="Calibri"/>
          <w:color w:val="1F497D" w:themeColor="text2"/>
        </w:rPr>
        <w:t>les supports de communication de l’INCa en cas de besoin d’outils de communication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comprendre </w:t>
      </w:r>
      <w:r w:rsidRPr="00F824EE">
        <w:rPr>
          <w:rFonts w:cs="Calibri"/>
          <w:b/>
          <w:color w:val="1F497D" w:themeColor="text2"/>
        </w:rPr>
        <w:t>obligatoirement</w:t>
      </w:r>
      <w:r w:rsidRPr="00F824EE">
        <w:rPr>
          <w:rFonts w:cs="Calibri"/>
          <w:color w:val="1F497D" w:themeColor="text2"/>
        </w:rPr>
        <w:t xml:space="preserve"> une </w:t>
      </w:r>
      <w:r w:rsidRPr="00F824EE">
        <w:rPr>
          <w:rFonts w:cs="Calibri"/>
          <w:b/>
          <w:color w:val="1F497D" w:themeColor="text2"/>
        </w:rPr>
        <w:t xml:space="preserve">description précise des actions et des postes budgétaires </w:t>
      </w:r>
      <w:r w:rsidRPr="00F824EE">
        <w:rPr>
          <w:rFonts w:cs="Calibri"/>
          <w:color w:val="1F497D" w:themeColor="text2"/>
        </w:rPr>
        <w:t xml:space="preserve">pour permettre </w:t>
      </w:r>
      <w:r w:rsidR="005262F8">
        <w:rPr>
          <w:rFonts w:cs="Calibri"/>
          <w:color w:val="1F497D" w:themeColor="text2"/>
        </w:rPr>
        <w:t xml:space="preserve">une bonne compréhension de leurs actions </w:t>
      </w:r>
      <w:r w:rsidRPr="00F824EE">
        <w:rPr>
          <w:rFonts w:cs="Calibri"/>
          <w:color w:val="1F497D" w:themeColor="text2"/>
        </w:rPr>
        <w:t>aux niveaux local</w:t>
      </w:r>
      <w:r w:rsidR="005262F8">
        <w:rPr>
          <w:rFonts w:cs="Calibri"/>
          <w:color w:val="1F497D" w:themeColor="text2"/>
        </w:rPr>
        <w:t>,</w:t>
      </w:r>
      <w:r w:rsidRPr="00F824EE">
        <w:rPr>
          <w:rFonts w:cs="Calibri"/>
          <w:color w:val="1F497D" w:themeColor="text2"/>
        </w:rPr>
        <w:t xml:space="preserve"> régional </w:t>
      </w:r>
      <w:r w:rsidR="005262F8">
        <w:rPr>
          <w:rFonts w:cs="Calibri"/>
          <w:color w:val="1F497D" w:themeColor="text2"/>
        </w:rPr>
        <w:t xml:space="preserve">et national </w:t>
      </w:r>
      <w:r w:rsidR="00A03EAD">
        <w:rPr>
          <w:rFonts w:cs="Calibri"/>
          <w:color w:val="1F497D" w:themeColor="text2"/>
        </w:rPr>
        <w:t>et</w:t>
      </w:r>
      <w:r w:rsidR="005262F8">
        <w:rPr>
          <w:rFonts w:cs="Calibri"/>
          <w:color w:val="1F497D" w:themeColor="text2"/>
        </w:rPr>
        <w:t xml:space="preserve"> prendre une décision éclairée d’attribution ou non des financements</w:t>
      </w:r>
      <w:r w:rsidRPr="00F824EE">
        <w:rPr>
          <w:rFonts w:cs="Calibri"/>
          <w:color w:val="1F497D" w:themeColor="text2"/>
        </w:rPr>
        <w:t xml:space="preserve"> ;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produire </w:t>
      </w:r>
      <w:r w:rsidRPr="00F824EE">
        <w:rPr>
          <w:rFonts w:cs="Calibri"/>
          <w:b/>
          <w:color w:val="1F497D" w:themeColor="text2"/>
        </w:rPr>
        <w:t>obligatoirement</w:t>
      </w:r>
      <w:r w:rsidRPr="00F824EE">
        <w:rPr>
          <w:rFonts w:cs="Calibri"/>
          <w:color w:val="1F497D" w:themeColor="text2"/>
        </w:rPr>
        <w:t xml:space="preserve"> les éléments d’</w:t>
      </w:r>
      <w:r w:rsidRPr="00F824EE">
        <w:rPr>
          <w:rFonts w:cs="Calibri"/>
          <w:b/>
          <w:color w:val="1F497D" w:themeColor="text2"/>
        </w:rPr>
        <w:t>évaluation</w:t>
      </w:r>
      <w:r w:rsidRPr="00F824EE">
        <w:rPr>
          <w:rFonts w:cs="Calibri"/>
          <w:color w:val="1F497D" w:themeColor="text2"/>
        </w:rPr>
        <w:t xml:space="preserve"> demandés ainsi que les </w:t>
      </w:r>
      <w:r w:rsidRPr="00F824EE">
        <w:rPr>
          <w:rFonts w:cs="Calibri"/>
          <w:b/>
          <w:color w:val="1F497D" w:themeColor="text2"/>
        </w:rPr>
        <w:t xml:space="preserve">pièces justificatives et comptables </w:t>
      </w:r>
      <w:r w:rsidR="00B22272" w:rsidRPr="00F824EE">
        <w:rPr>
          <w:rFonts w:cs="Calibri"/>
          <w:b/>
          <w:color w:val="1F497D" w:themeColor="text2"/>
        </w:rPr>
        <w:t>affér</w:t>
      </w:r>
      <w:r w:rsidR="00B22272">
        <w:rPr>
          <w:rFonts w:cs="Calibri"/>
          <w:b/>
          <w:color w:val="1F497D" w:themeColor="text2"/>
        </w:rPr>
        <w:t>e</w:t>
      </w:r>
      <w:r w:rsidR="00B22272" w:rsidRPr="00F824EE">
        <w:rPr>
          <w:rFonts w:cs="Calibri"/>
          <w:b/>
          <w:color w:val="1F497D" w:themeColor="text2"/>
        </w:rPr>
        <w:t>nt</w:t>
      </w:r>
      <w:r w:rsidR="00B22272">
        <w:rPr>
          <w:rFonts w:cs="Calibri"/>
          <w:b/>
          <w:color w:val="1F497D" w:themeColor="text2"/>
        </w:rPr>
        <w:t>s</w:t>
      </w:r>
      <w:r w:rsidRPr="00F824EE">
        <w:rPr>
          <w:rFonts w:cs="Calibri"/>
          <w:b/>
          <w:color w:val="1F497D" w:themeColor="text2"/>
        </w:rPr>
        <w:t xml:space="preserve"> aux actions réalisées (bilan financier)</w:t>
      </w:r>
      <w:r w:rsidRPr="00F824EE">
        <w:rPr>
          <w:rFonts w:cs="Calibri"/>
          <w:color w:val="1F497D" w:themeColor="text2"/>
        </w:rPr>
        <w:t xml:space="preserve"> sous peine d’inéligibilité lors du prochain appel à projets de l’Assurance Maladie. Par ailleurs, l’évaluation de l’action est </w:t>
      </w:r>
      <w:r w:rsidRPr="00F824EE">
        <w:rPr>
          <w:rFonts w:cs="Calibri"/>
          <w:b/>
          <w:color w:val="1F497D" w:themeColor="text2"/>
        </w:rPr>
        <w:t>à produire obligatoirement pour toute demande de reconduction ou extension de projet, sous peine de refus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Pr="00F824EE">
        <w:rPr>
          <w:rFonts w:cs="Calibri"/>
          <w:b/>
          <w:color w:val="1F497D" w:themeColor="text2"/>
        </w:rPr>
        <w:t>restituer les crédits non utilisés</w:t>
      </w:r>
      <w:r w:rsidRPr="00F824EE">
        <w:rPr>
          <w:rFonts w:cs="Calibri"/>
          <w:color w:val="1F497D" w:themeColor="text2"/>
        </w:rPr>
        <w:t xml:space="preserve"> sous peine de poursuite et d’inéligibilité du promoteur concerné lors du prochain appel à projets de l’Assurance Maladie.</w:t>
      </w:r>
    </w:p>
    <w:p w:rsidR="00E1125C" w:rsidRDefault="00E1125C">
      <w:pPr>
        <w:spacing w:after="0" w:line="240" w:lineRule="auto"/>
        <w:rPr>
          <w:rFonts w:cs="Calibri"/>
          <w:color w:val="000000"/>
          <w:sz w:val="24"/>
          <w:szCs w:val="24"/>
          <w:lang w:eastAsia="fr-FR"/>
        </w:rPr>
      </w:pPr>
    </w:p>
    <w:p w:rsidR="00A2092F" w:rsidRDefault="00A2092F">
      <w:pPr>
        <w:spacing w:after="0" w:line="240" w:lineRule="auto"/>
        <w:rPr>
          <w:rFonts w:cs="Calibri"/>
          <w:color w:val="000000"/>
          <w:sz w:val="24"/>
          <w:szCs w:val="24"/>
          <w:lang w:eastAsia="fr-FR"/>
        </w:rPr>
      </w:pPr>
      <w:r>
        <w:br w:type="page"/>
      </w:r>
    </w:p>
    <w:p w:rsidR="00E22B77" w:rsidRDefault="00742752" w:rsidP="00E22B77">
      <w:pPr>
        <w:rPr>
          <w:u w:val="single"/>
        </w:rPr>
      </w:pPr>
      <w:r>
        <w:rPr>
          <w:noProof/>
          <w:u w:val="single"/>
          <w:lang w:eastAsia="fr-FR"/>
        </w:rPr>
        <w:lastRenderedPageBreak/>
        <mc:AlternateContent>
          <mc:Choice Requires="wps">
            <w:drawing>
              <wp:anchor distT="0" distB="0" distL="114300" distR="114300" simplePos="0" relativeHeight="251658240" behindDoc="0" locked="0" layoutInCell="1" allowOverlap="1" wp14:anchorId="741F77FE" wp14:editId="764B3598">
                <wp:simplePos x="0" y="0"/>
                <wp:positionH relativeFrom="column">
                  <wp:posOffset>167005</wp:posOffset>
                </wp:positionH>
                <wp:positionV relativeFrom="paragraph">
                  <wp:posOffset>86360</wp:posOffset>
                </wp:positionV>
                <wp:extent cx="5369560" cy="742950"/>
                <wp:effectExtent l="19050" t="19050" r="4064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74295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87D87" w:rsidRDefault="00133408" w:rsidP="00DD09C7">
                            <w:pPr>
                              <w:spacing w:after="0" w:line="240" w:lineRule="auto"/>
                              <w:ind w:left="1134" w:hanging="1134"/>
                              <w:rPr>
                                <w:rFonts w:cs="Calibri"/>
                                <w:sz w:val="24"/>
                                <w:szCs w:val="24"/>
                                <w:u w:val="single"/>
                                <w:lang w:eastAsia="fr-FR"/>
                              </w:rPr>
                            </w:pPr>
                            <w:r w:rsidRPr="00DD09C7">
                              <w:rPr>
                                <w:rFonts w:cs="Calibri"/>
                                <w:sz w:val="24"/>
                                <w:szCs w:val="24"/>
                                <w:lang w:eastAsia="fr-FR"/>
                              </w:rPr>
                              <w:t>Annexe :</w:t>
                            </w:r>
                            <w:r>
                              <w:rPr>
                                <w:rFonts w:cs="Calibri"/>
                                <w:sz w:val="24"/>
                                <w:szCs w:val="24"/>
                                <w:u w:val="single"/>
                                <w:lang w:eastAsia="fr-FR"/>
                              </w:rPr>
                              <w:t xml:space="preserve"> 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rsidR="00133408" w:rsidRPr="0039422C" w:rsidRDefault="00687D87" w:rsidP="00687D87">
                            <w:pPr>
                              <w:spacing w:after="0" w:line="240" w:lineRule="auto"/>
                              <w:ind w:left="1134" w:hanging="1134"/>
                              <w:jc w:val="center"/>
                              <w:rPr>
                                <w:rFonts w:cs="Calibri"/>
                                <w:sz w:val="24"/>
                                <w:szCs w:val="24"/>
                                <w:lang w:eastAsia="fr-FR"/>
                              </w:rPr>
                            </w:pPr>
                            <w:r>
                              <w:rPr>
                                <w:rFonts w:cs="Calibri"/>
                                <w:sz w:val="24"/>
                                <w:szCs w:val="24"/>
                                <w:u w:val="single"/>
                                <w:lang w:eastAsia="fr-FR"/>
                              </w:rPr>
                              <w:t>(en vigueur jusqu’à fin 2023 – Missions revues à compter de 2024)</w:t>
                            </w:r>
                            <w:r w:rsidR="00133408" w:rsidRPr="0039422C">
                              <w:rPr>
                                <w:rFonts w:cs="Calibri"/>
                                <w:sz w:val="24"/>
                                <w:szCs w:val="24"/>
                                <w:lang w:eastAsia="fr-FR"/>
                              </w:rPr>
                              <w:t>:</w:t>
                            </w:r>
                          </w:p>
                          <w:p w:rsidR="00133408" w:rsidRPr="0039422C" w:rsidRDefault="00133408"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133408" w:rsidRDefault="001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15pt;margin-top:6.8pt;width:422.8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" strokecolor="#8064a2" strokeweight="5pt">
                <v:stroke linestyle="thickThin"/>
                <v:shadow color="#868686"/>
                <v:textbox>
                  <w:txbxContent>
                    <w:p w:rsidR="00687D87" w:rsidRDefault="00133408" w:rsidP="00DD09C7">
                      <w:pPr>
                        <w:spacing w:after="0" w:line="240" w:lineRule="auto"/>
                        <w:ind w:left="1134" w:hanging="1134"/>
                        <w:rPr>
                          <w:rFonts w:cs="Calibri"/>
                          <w:sz w:val="24"/>
                          <w:szCs w:val="24"/>
                          <w:u w:val="single"/>
                          <w:lang w:eastAsia="fr-FR"/>
                        </w:rPr>
                      </w:pPr>
                      <w:r w:rsidRPr="00DD09C7">
                        <w:rPr>
                          <w:rFonts w:cs="Calibri"/>
                          <w:sz w:val="24"/>
                          <w:szCs w:val="24"/>
                          <w:lang w:eastAsia="fr-FR"/>
                        </w:rPr>
                        <w:t>Annexe :</w:t>
                      </w:r>
                      <w:r>
                        <w:rPr>
                          <w:rFonts w:cs="Calibri"/>
                          <w:sz w:val="24"/>
                          <w:szCs w:val="24"/>
                          <w:u w:val="single"/>
                          <w:lang w:eastAsia="fr-FR"/>
                        </w:rPr>
                        <w:t xml:space="preserve"> 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rsidR="00133408" w:rsidRPr="0039422C" w:rsidRDefault="00687D87" w:rsidP="00687D87">
                      <w:pPr>
                        <w:spacing w:after="0" w:line="240" w:lineRule="auto"/>
                        <w:ind w:left="1134" w:hanging="1134"/>
                        <w:jc w:val="center"/>
                        <w:rPr>
                          <w:rFonts w:cs="Calibri"/>
                          <w:sz w:val="24"/>
                          <w:szCs w:val="24"/>
                          <w:lang w:eastAsia="fr-FR"/>
                        </w:rPr>
                      </w:pPr>
                      <w:r>
                        <w:rPr>
                          <w:rFonts w:cs="Calibri"/>
                          <w:sz w:val="24"/>
                          <w:szCs w:val="24"/>
                          <w:u w:val="single"/>
                          <w:lang w:eastAsia="fr-FR"/>
                        </w:rPr>
                        <w:t>(</w:t>
                      </w:r>
                      <w:proofErr w:type="gramStart"/>
                      <w:r>
                        <w:rPr>
                          <w:rFonts w:cs="Calibri"/>
                          <w:sz w:val="24"/>
                          <w:szCs w:val="24"/>
                          <w:u w:val="single"/>
                          <w:lang w:eastAsia="fr-FR"/>
                        </w:rPr>
                        <w:t>en</w:t>
                      </w:r>
                      <w:proofErr w:type="gramEnd"/>
                      <w:r>
                        <w:rPr>
                          <w:rFonts w:cs="Calibri"/>
                          <w:sz w:val="24"/>
                          <w:szCs w:val="24"/>
                          <w:u w:val="single"/>
                          <w:lang w:eastAsia="fr-FR"/>
                        </w:rPr>
                        <w:t xml:space="preserve"> vigueur jusqu’à fin 2023 – Missions revues à compter de 2024)</w:t>
                      </w:r>
                      <w:r w:rsidR="00133408" w:rsidRPr="0039422C">
                        <w:rPr>
                          <w:rFonts w:cs="Calibri"/>
                          <w:sz w:val="24"/>
                          <w:szCs w:val="24"/>
                          <w:lang w:eastAsia="fr-FR"/>
                        </w:rPr>
                        <w:t>:</w:t>
                      </w:r>
                    </w:p>
                    <w:p w:rsidR="00133408" w:rsidRPr="0039422C" w:rsidRDefault="00133408"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133408" w:rsidRDefault="00133408"/>
                  </w:txbxContent>
                </v:textbox>
              </v:rect>
            </w:pict>
          </mc:Fallback>
        </mc:AlternateContent>
      </w:r>
    </w:p>
    <w:p w:rsidR="00E22B77" w:rsidRDefault="00E22B77" w:rsidP="00E22B77">
      <w:pPr>
        <w:rPr>
          <w:u w:val="single"/>
        </w:rPr>
      </w:pPr>
    </w:p>
    <w:p w:rsidR="00E22B77" w:rsidRDefault="00E22B77" w:rsidP="00F10349">
      <w:pPr>
        <w:spacing w:after="0" w:line="240" w:lineRule="auto"/>
        <w:rPr>
          <w:u w:val="single"/>
        </w:rPr>
      </w:pPr>
    </w:p>
    <w:p w:rsidR="00687D87" w:rsidRPr="00F9586C" w:rsidRDefault="00687D87" w:rsidP="00F10349">
      <w:pPr>
        <w:spacing w:after="0" w:line="240" w:lineRule="auto"/>
        <w:rPr>
          <w:u w:val="single"/>
        </w:rPr>
      </w:pPr>
    </w:p>
    <w:p w:rsidR="00BA4E90" w:rsidRDefault="00BC47C6" w:rsidP="00BC47C6">
      <w:pPr>
        <w:pStyle w:val="NormalWeb"/>
        <w:numPr>
          <w:ilvl w:val="1"/>
          <w:numId w:val="5"/>
        </w:numPr>
        <w:spacing w:after="0" w:line="240" w:lineRule="auto"/>
        <w:ind w:left="426" w:hanging="426"/>
        <w:rPr>
          <w:rFonts w:ascii="Calibri" w:hAnsi="Calibri"/>
        </w:rPr>
      </w:pPr>
      <w:r>
        <w:rPr>
          <w:rFonts w:ascii="Calibri" w:hAnsi="Calibri"/>
        </w:rPr>
        <w:t>L</w:t>
      </w:r>
      <w:r w:rsidRPr="00F9586C">
        <w:rPr>
          <w:rFonts w:ascii="Calibri" w:hAnsi="Calibri"/>
        </w:rPr>
        <w:t xml:space="preserve">es </w:t>
      </w:r>
      <w:r w:rsidR="002868F0" w:rsidRPr="00F9586C">
        <w:rPr>
          <w:rFonts w:ascii="Calibri" w:hAnsi="Calibri"/>
        </w:rPr>
        <w:t>relations avec la populat</w:t>
      </w:r>
      <w:r w:rsidR="00BA4E90" w:rsidRPr="00F9586C">
        <w:rPr>
          <w:rFonts w:ascii="Calibri" w:hAnsi="Calibri"/>
        </w:rPr>
        <w:t>ion (information, communication sensibilisation,</w:t>
      </w:r>
      <w:r w:rsidR="002868F0" w:rsidRPr="00F9586C">
        <w:rPr>
          <w:rFonts w:ascii="Calibri" w:hAnsi="Calibri"/>
        </w:rPr>
        <w:t xml:space="preserve"> actions de</w:t>
      </w:r>
      <w:r w:rsidR="00BA4E90" w:rsidRPr="00F9586C">
        <w:rPr>
          <w:rFonts w:ascii="Calibri" w:hAnsi="Calibri"/>
        </w:rPr>
        <w:t xml:space="preserve"> lutte contre les inégalités) </w:t>
      </w:r>
    </w:p>
    <w:p w:rsidR="00BD6B05" w:rsidRPr="00F9586C" w:rsidRDefault="00BD6B05" w:rsidP="00BD6B05">
      <w:pPr>
        <w:pStyle w:val="NormalWeb"/>
        <w:spacing w:after="0" w:line="240" w:lineRule="auto"/>
        <w:ind w:left="426"/>
        <w:rPr>
          <w:rFonts w:ascii="Calibri" w:hAnsi="Calibri"/>
        </w:rPr>
      </w:pPr>
    </w:p>
    <w:p w:rsidR="00E22B77" w:rsidRPr="00F9586C" w:rsidRDefault="00BC47C6" w:rsidP="00BC47C6">
      <w:pPr>
        <w:pStyle w:val="NormalWeb"/>
        <w:numPr>
          <w:ilvl w:val="1"/>
          <w:numId w:val="5"/>
        </w:numPr>
        <w:spacing w:after="0" w:line="240" w:lineRule="auto"/>
        <w:ind w:left="426" w:hanging="426"/>
        <w:rPr>
          <w:rFonts w:ascii="Calibri" w:eastAsia="Times New Roman" w:hAnsi="Calibri"/>
          <w:lang w:eastAsia="fr-FR"/>
        </w:rPr>
      </w:pPr>
      <w:r>
        <w:rPr>
          <w:rFonts w:ascii="Calibri" w:eastAsia="Times New Roman" w:hAnsi="Calibri"/>
          <w:lang w:eastAsia="fr-FR"/>
        </w:rPr>
        <w:t xml:space="preserve">La </w:t>
      </w:r>
      <w:r w:rsidR="00BA4E90" w:rsidRPr="00F9586C">
        <w:rPr>
          <w:rFonts w:ascii="Calibri" w:eastAsia="Times New Roman" w:hAnsi="Calibri"/>
          <w:lang w:eastAsia="fr-FR"/>
        </w:rPr>
        <w:t>coordination des actions me</w:t>
      </w:r>
      <w:r w:rsidR="00E22B77" w:rsidRPr="00F9586C">
        <w:rPr>
          <w:rFonts w:ascii="Calibri" w:eastAsia="Times New Roman" w:hAnsi="Calibri"/>
          <w:lang w:eastAsia="fr-FR"/>
        </w:rPr>
        <w:t>nées par les sites territoriaux :</w:t>
      </w:r>
    </w:p>
    <w:p w:rsidR="00BA4E90" w:rsidRDefault="00F10349" w:rsidP="007E5F60">
      <w:pPr>
        <w:pStyle w:val="NormalWeb"/>
        <w:spacing w:after="0" w:line="240" w:lineRule="auto"/>
        <w:ind w:left="426"/>
        <w:rPr>
          <w:rFonts w:ascii="Calibri" w:hAnsi="Calibri"/>
          <w:b/>
        </w:rPr>
      </w:pPr>
      <w:r w:rsidRPr="00F9586C">
        <w:rPr>
          <w:rFonts w:ascii="Calibri" w:eastAsia="Times New Roman" w:hAnsi="Calibri"/>
          <w:b/>
          <w:lang w:eastAsia="fr-FR"/>
        </w:rPr>
        <w:t>-</w:t>
      </w:r>
      <w:r w:rsidR="00E22B77" w:rsidRPr="00F9586C">
        <w:rPr>
          <w:rFonts w:ascii="Calibri" w:eastAsia="Times New Roman" w:hAnsi="Calibri"/>
          <w:b/>
          <w:lang w:eastAsia="fr-FR"/>
        </w:rPr>
        <w:t xml:space="preserve"> I</w:t>
      </w:r>
      <w:r w:rsidR="00E22B77" w:rsidRPr="00F9586C">
        <w:rPr>
          <w:rFonts w:ascii="Calibri" w:hAnsi="Calibri"/>
          <w:b/>
        </w:rPr>
        <w:t>nformation, sensibilisation ;</w:t>
      </w:r>
      <w:r w:rsidR="00E22B77" w:rsidRPr="00F9586C">
        <w:rPr>
          <w:rFonts w:ascii="Calibri" w:hAnsi="Calibri"/>
          <w:b/>
        </w:rPr>
        <w:br/>
        <w:t>-</w:t>
      </w:r>
      <w:r w:rsidRPr="00F9586C">
        <w:rPr>
          <w:rFonts w:ascii="Calibri" w:hAnsi="Calibri"/>
          <w:b/>
        </w:rPr>
        <w:t xml:space="preserve"> A</w:t>
      </w:r>
      <w:r w:rsidR="00E22B77" w:rsidRPr="00F9586C">
        <w:rPr>
          <w:rFonts w:ascii="Calibri" w:hAnsi="Calibri"/>
          <w:b/>
        </w:rPr>
        <w:t>ctions de lutte contre les inégalités ;</w:t>
      </w:r>
      <w:r w:rsidR="00E22B77" w:rsidRPr="00F9586C">
        <w:rPr>
          <w:rFonts w:ascii="Calibri" w:hAnsi="Calibri"/>
          <w:b/>
        </w:rPr>
        <w:br/>
        <w:t>-</w:t>
      </w:r>
      <w:r w:rsidRPr="00F9586C">
        <w:rPr>
          <w:rFonts w:ascii="Calibri" w:hAnsi="Calibri"/>
          <w:b/>
        </w:rPr>
        <w:t xml:space="preserve"> I</w:t>
      </w:r>
      <w:r w:rsidR="00E22B77" w:rsidRPr="00F9586C">
        <w:rPr>
          <w:rFonts w:ascii="Calibri" w:hAnsi="Calibri"/>
          <w:b/>
        </w:rPr>
        <w:t>nformation sur la prévention des cancers.</w:t>
      </w:r>
    </w:p>
    <w:p w:rsidR="00BD6B05" w:rsidRPr="00F9586C" w:rsidRDefault="00BD6B05" w:rsidP="007E5F60">
      <w:pPr>
        <w:pStyle w:val="NormalWeb"/>
        <w:spacing w:after="0" w:line="240" w:lineRule="auto"/>
        <w:ind w:left="426"/>
        <w:rPr>
          <w:rFonts w:ascii="Calibri" w:hAnsi="Calibri"/>
          <w:b/>
        </w:rPr>
      </w:pPr>
    </w:p>
    <w:p w:rsidR="00F10349" w:rsidRPr="00F9586C" w:rsidRDefault="009147DC" w:rsidP="00BC47C6">
      <w:pPr>
        <w:pStyle w:val="NormalWeb"/>
        <w:numPr>
          <w:ilvl w:val="0"/>
          <w:numId w:val="6"/>
        </w:numPr>
        <w:tabs>
          <w:tab w:val="left" w:pos="993"/>
          <w:tab w:val="left" w:pos="1276"/>
        </w:tabs>
        <w:spacing w:after="0" w:line="240" w:lineRule="auto"/>
        <w:ind w:left="426" w:hanging="425"/>
        <w:jc w:val="both"/>
        <w:rPr>
          <w:rFonts w:ascii="Calibri" w:hAnsi="Calibri"/>
          <w:b/>
        </w:rPr>
      </w:pPr>
      <w:r w:rsidRPr="00F9586C">
        <w:rPr>
          <w:rFonts w:ascii="Calibri" w:hAnsi="Calibri"/>
        </w:rPr>
        <w:t xml:space="preserve">Le centre régional de coordination des dépistages des cancers participe, en conformité avec la communication nationale, et en l'adaptant au contexte local si nécessaire, à la sensibilisation de la population concernée à la démarche de dépistage. </w:t>
      </w:r>
    </w:p>
    <w:p w:rsidR="00CF3F6C" w:rsidRPr="00F9586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contribue, en conformité avec la communication nationale et en l'adaptant au contexte local si nécessaire, à délivrer une information loyale, claire et appropriée sur les programmes de dépistage organisé permettant une décision libre et éclairée des personnes sur le choix de participer ou non (enjeux, stratégies de dépistage en fonction des niveaux de risques, intervalles de dépistage, bénéfices, limites et risques, parcours de dépistage, prise en charge, données épidémiologiques, et le cas échéant sur les stratégies de prévention et de détection précoce</w:t>
      </w:r>
      <w:r w:rsidR="00D13D28" w:rsidRPr="00F9586C">
        <w:rPr>
          <w:rFonts w:ascii="Calibri" w:hAnsi="Calibri"/>
        </w:rPr>
        <w:t xml:space="preserve"> recommandées.</w:t>
      </w:r>
    </w:p>
    <w:p w:rsidR="009147D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participe, en lien avec les partenaires et acteurs locaux, notamment les médecins traitants, à l'information sur la prévention des risques et le dépistage des cancers, dans une approche intégrée de parcours de santé.</w:t>
      </w:r>
    </w:p>
    <w:p w:rsidR="00BD6B05" w:rsidRPr="00F9586C" w:rsidRDefault="00BD6B05" w:rsidP="007E5F60">
      <w:pPr>
        <w:pStyle w:val="NormalWeb"/>
        <w:tabs>
          <w:tab w:val="left" w:pos="993"/>
          <w:tab w:val="left" w:pos="1276"/>
        </w:tabs>
        <w:spacing w:after="0" w:line="240" w:lineRule="auto"/>
        <w:ind w:left="426"/>
        <w:jc w:val="both"/>
        <w:rPr>
          <w:rFonts w:ascii="Calibri" w:hAnsi="Calibri"/>
          <w:b/>
        </w:rPr>
      </w:pPr>
    </w:p>
    <w:p w:rsidR="006600C0" w:rsidRPr="00F9586C" w:rsidRDefault="00170FF3" w:rsidP="00BC47C6">
      <w:pPr>
        <w:pStyle w:val="NormalWeb"/>
        <w:numPr>
          <w:ilvl w:val="0"/>
          <w:numId w:val="6"/>
        </w:numPr>
        <w:tabs>
          <w:tab w:val="left" w:pos="1276"/>
        </w:tabs>
        <w:spacing w:after="0" w:line="240" w:lineRule="auto"/>
        <w:ind w:left="426" w:hanging="425"/>
        <w:jc w:val="both"/>
        <w:rPr>
          <w:rFonts w:ascii="Calibri" w:hAnsi="Calibri" w:cs="Calibri"/>
          <w:sz w:val="22"/>
          <w:szCs w:val="22"/>
          <w:lang w:eastAsia="fr-FR"/>
        </w:rPr>
      </w:pPr>
      <w:r w:rsidRPr="00F9586C">
        <w:rPr>
          <w:rFonts w:ascii="Calibri" w:hAnsi="Calibri"/>
        </w:rPr>
        <w:t xml:space="preserve">Les supports et messages d'information et de communication mis à la disposition de la population sont élaborés par l'Institut national du cancer. Toute modification ou adaptation locale doit se faire avec l'accord formel de l'Institut national du cancer. Le message véhiculé par les actions de communication locales doit être homogène, sans ambiguïté, et conforme à la </w:t>
      </w:r>
      <w:hyperlink r:id="rId13" w:history="1">
        <w:r w:rsidRPr="00F9586C">
          <w:rPr>
            <w:rStyle w:val="Lienhypertexte"/>
            <w:rFonts w:ascii="Calibri" w:hAnsi="Calibri"/>
            <w:color w:val="auto"/>
          </w:rPr>
          <w:t xml:space="preserve">loi n° 2002-303 du 4 mars 2002 </w:t>
        </w:r>
      </w:hyperlink>
      <w:r w:rsidRPr="00F9586C">
        <w:rPr>
          <w:rFonts w:ascii="Calibri" w:hAnsi="Calibri"/>
        </w:rPr>
        <w:t>relative aux droits des malades et à la qualité du système de santé. L'information fournie doit être précise et aisée d'accès pour tous et aborder les enjeux du dépistage, les bénéfices attendus, ainsi que les limites et les éventuels effets délétères. Elle doit s'appuyer sur des données scientifiques, y compris celles relatives aux inconvénients potentiels des dépistages.</w:t>
      </w:r>
    </w:p>
    <w:p w:rsidR="00DD09C7" w:rsidRPr="00F9586C" w:rsidRDefault="00DD09C7" w:rsidP="004E6A74">
      <w:pPr>
        <w:pStyle w:val="NormalWeb"/>
        <w:tabs>
          <w:tab w:val="left" w:pos="1276"/>
        </w:tabs>
        <w:spacing w:after="0" w:line="240" w:lineRule="auto"/>
        <w:ind w:left="426"/>
        <w:jc w:val="both"/>
        <w:rPr>
          <w:rFonts w:ascii="Calibri" w:hAnsi="Calibri" w:cs="Calibri"/>
          <w:sz w:val="22"/>
          <w:szCs w:val="22"/>
          <w:lang w:eastAsia="fr-FR"/>
        </w:rPr>
      </w:pPr>
    </w:p>
    <w:p w:rsidR="006F1FA8" w:rsidRPr="004E6A74" w:rsidRDefault="00AA4E30" w:rsidP="00BC47C6">
      <w:pPr>
        <w:pStyle w:val="NormalWeb"/>
        <w:numPr>
          <w:ilvl w:val="0"/>
          <w:numId w:val="9"/>
        </w:numPr>
        <w:tabs>
          <w:tab w:val="left" w:pos="1276"/>
        </w:tabs>
        <w:spacing w:line="240" w:lineRule="auto"/>
        <w:ind w:left="426" w:hanging="426"/>
        <w:jc w:val="both"/>
        <w:rPr>
          <w:rFonts w:ascii="Calibri" w:hAnsi="Calibri" w:cs="Calibri"/>
          <w:b/>
          <w:i/>
          <w:color w:val="000000"/>
          <w:sz w:val="22"/>
          <w:szCs w:val="22"/>
          <w:lang w:eastAsia="fr-FR"/>
        </w:rPr>
      </w:pPr>
      <w:r w:rsidRPr="004E6A74">
        <w:rPr>
          <w:rFonts w:ascii="Calibri" w:hAnsi="Calibri"/>
          <w:color w:val="000000"/>
        </w:rPr>
        <w:t xml:space="preserve">Enfin, des actions spécifiques (accompagnement au dépistage, médiation sanitaire, </w:t>
      </w:r>
      <w:r w:rsidRPr="00125823">
        <w:rPr>
          <w:rFonts w:ascii="Calibri" w:hAnsi="Calibri"/>
          <w:b/>
          <w:color w:val="000000"/>
        </w:rPr>
        <w:t>unités mobiles</w:t>
      </w:r>
      <w:r w:rsidRPr="004E6A74">
        <w:rPr>
          <w:rFonts w:ascii="Calibri" w:hAnsi="Calibri"/>
          <w:color w:val="000000"/>
        </w:rPr>
        <w:t>, etc.) en direction de populations vulnérables et/ ou très éloignées du système de santé peuvent être mises en place par les associations intervenant auprès de ces publics, en partenariat avec les structures en charge de la ges</w:t>
      </w:r>
      <w:r w:rsidR="009D2AAF" w:rsidRPr="004E6A74">
        <w:rPr>
          <w:rFonts w:ascii="Calibri" w:hAnsi="Calibri"/>
          <w:color w:val="000000"/>
        </w:rPr>
        <w:t xml:space="preserve">tion des dépistages des </w:t>
      </w:r>
      <w:r w:rsidR="00D556D3" w:rsidRPr="004E6A74">
        <w:rPr>
          <w:rFonts w:ascii="Calibri" w:hAnsi="Calibri"/>
          <w:color w:val="000000"/>
        </w:rPr>
        <w:t>cancers (</w:t>
      </w:r>
      <w:r w:rsidR="00D556D3" w:rsidRPr="004E6A74">
        <w:rPr>
          <w:rStyle w:val="lev"/>
          <w:rFonts w:ascii="Calibri" w:hAnsi="Calibri"/>
          <w:b w:val="0"/>
          <w:i/>
          <w:color w:val="000000"/>
        </w:rPr>
        <w:t xml:space="preserve">Arrêté du </w:t>
      </w:r>
      <w:r w:rsidR="00057AC0">
        <w:rPr>
          <w:rStyle w:val="lev"/>
          <w:rFonts w:ascii="Calibri" w:hAnsi="Calibri"/>
          <w:b w:val="0"/>
          <w:i/>
          <w:color w:val="000000"/>
        </w:rPr>
        <w:t>30 juillet 2020</w:t>
      </w:r>
      <w:r w:rsidR="00D556D3" w:rsidRPr="004E6A74">
        <w:rPr>
          <w:rStyle w:val="lev"/>
          <w:rFonts w:ascii="Calibri" w:hAnsi="Calibri"/>
          <w:b w:val="0"/>
          <w:i/>
          <w:color w:val="000000"/>
        </w:rPr>
        <w:t xml:space="preserve"> relatif à l'organisation du dépistage organisé du cancer du col de l'utérus)</w:t>
      </w:r>
    </w:p>
    <w:p w:rsidR="00EB3379" w:rsidRDefault="00EB3379" w:rsidP="00FA420C">
      <w:pPr>
        <w:tabs>
          <w:tab w:val="left" w:pos="7363"/>
        </w:tabs>
        <w:autoSpaceDE w:val="0"/>
        <w:autoSpaceDN w:val="0"/>
        <w:adjustRightInd w:val="0"/>
        <w:spacing w:after="0" w:line="264" w:lineRule="auto"/>
        <w:ind w:left="426"/>
        <w:jc w:val="both"/>
        <w:rPr>
          <w:rFonts w:eastAsia="Times New Roman" w:cs="Calibri"/>
          <w:lang w:eastAsia="fr-FR"/>
        </w:rPr>
      </w:pPr>
    </w:p>
    <w:p w:rsidR="00C248CD" w:rsidRDefault="00C248CD" w:rsidP="00FA420C">
      <w:pPr>
        <w:tabs>
          <w:tab w:val="left" w:pos="7363"/>
        </w:tabs>
        <w:autoSpaceDE w:val="0"/>
        <w:autoSpaceDN w:val="0"/>
        <w:adjustRightInd w:val="0"/>
        <w:spacing w:after="0" w:line="264" w:lineRule="auto"/>
        <w:ind w:left="426"/>
        <w:jc w:val="both"/>
        <w:rPr>
          <w:rFonts w:eastAsia="Times New Roman" w:cs="Calibri"/>
          <w:lang w:eastAsia="fr-FR"/>
        </w:rPr>
      </w:pPr>
      <w:r>
        <w:rPr>
          <w:rFonts w:eastAsia="Times New Roman" w:cs="Calibri"/>
          <w:lang w:eastAsia="fr-FR"/>
        </w:rPr>
        <w:t>Texte de référence :</w:t>
      </w:r>
    </w:p>
    <w:p w:rsidR="00D463CE" w:rsidRPr="00EB3379" w:rsidRDefault="005D1E63" w:rsidP="00FA420C">
      <w:pPr>
        <w:tabs>
          <w:tab w:val="left" w:pos="7363"/>
        </w:tabs>
        <w:autoSpaceDE w:val="0"/>
        <w:autoSpaceDN w:val="0"/>
        <w:adjustRightInd w:val="0"/>
        <w:spacing w:after="0" w:line="264" w:lineRule="auto"/>
        <w:ind w:left="426"/>
        <w:jc w:val="both"/>
        <w:rPr>
          <w:rFonts w:eastAsia="Times New Roman" w:cs="Calibri"/>
          <w:lang w:eastAsia="fr-FR"/>
        </w:rPr>
      </w:pPr>
      <w:hyperlink r:id="rId14" w:history="1">
        <w:r w:rsidR="00C248CD" w:rsidRPr="00C248CD">
          <w:rPr>
            <w:rStyle w:val="Lienhypertexte"/>
            <w:rFonts w:eastAsia="Times New Roman" w:cs="Calibri"/>
            <w:lang w:eastAsia="fr-FR"/>
          </w:rPr>
          <w:t>A</w:t>
        </w:r>
        <w:r w:rsidR="00D463CE" w:rsidRPr="00C248CD">
          <w:rPr>
            <w:rStyle w:val="Lienhypertexte"/>
            <w:rFonts w:eastAsia="Times New Roman" w:cs="Calibri"/>
            <w:lang w:eastAsia="fr-FR"/>
          </w:rPr>
          <w:t>rrêté du 23 mars 2018 portant modification de l’arrêté du 29 septembre 2006 relatif aux programmes de dépistage des cancers</w:t>
        </w:r>
      </w:hyperlink>
    </w:p>
    <w:sectPr w:rsidR="00D463CE" w:rsidRPr="00EB3379" w:rsidSect="003C6C3A">
      <w:footerReference w:type="default" r:id="rId15"/>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08" w:rsidRDefault="00133408" w:rsidP="00BC58DB">
      <w:pPr>
        <w:spacing w:after="0" w:line="240" w:lineRule="auto"/>
      </w:pPr>
      <w:r>
        <w:separator/>
      </w:r>
    </w:p>
  </w:endnote>
  <w:endnote w:type="continuationSeparator" w:id="0">
    <w:p w:rsidR="00133408" w:rsidRDefault="00133408"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08" w:rsidRDefault="00133408">
    <w:pPr>
      <w:pStyle w:val="Pieddepage"/>
      <w:jc w:val="right"/>
    </w:pPr>
    <w:r>
      <w:fldChar w:fldCharType="begin"/>
    </w:r>
    <w:r>
      <w:instrText>PAGE   \* MERGEFORMAT</w:instrText>
    </w:r>
    <w:r>
      <w:fldChar w:fldCharType="separate"/>
    </w:r>
    <w:r w:rsidR="005D1E63">
      <w:rPr>
        <w:noProof/>
      </w:rPr>
      <w:t>2</w:t>
    </w:r>
    <w:r>
      <w:fldChar w:fldCharType="end"/>
    </w:r>
  </w:p>
  <w:p w:rsidR="00133408" w:rsidRDefault="001334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08" w:rsidRDefault="00133408" w:rsidP="00BC58DB">
      <w:pPr>
        <w:spacing w:after="0" w:line="240" w:lineRule="auto"/>
      </w:pPr>
      <w:r>
        <w:separator/>
      </w:r>
    </w:p>
  </w:footnote>
  <w:footnote w:type="continuationSeparator" w:id="0">
    <w:p w:rsidR="00133408" w:rsidRDefault="00133408" w:rsidP="00BC5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12016ED6"/>
    <w:multiLevelType w:val="hybridMultilevel"/>
    <w:tmpl w:val="D5CCB03E"/>
    <w:lvl w:ilvl="0" w:tplc="78C0C986">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7">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9">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2">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6">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31">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5">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7">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7">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5"/>
  </w:num>
  <w:num w:numId="4">
    <w:abstractNumId w:val="39"/>
  </w:num>
  <w:num w:numId="5">
    <w:abstractNumId w:val="40"/>
  </w:num>
  <w:num w:numId="6">
    <w:abstractNumId w:val="31"/>
  </w:num>
  <w:num w:numId="7">
    <w:abstractNumId w:val="13"/>
  </w:num>
  <w:num w:numId="8">
    <w:abstractNumId w:val="46"/>
  </w:num>
  <w:num w:numId="9">
    <w:abstractNumId w:val="17"/>
  </w:num>
  <w:num w:numId="10">
    <w:abstractNumId w:val="35"/>
  </w:num>
  <w:num w:numId="11">
    <w:abstractNumId w:val="34"/>
  </w:num>
  <w:num w:numId="12">
    <w:abstractNumId w:val="11"/>
  </w:num>
  <w:num w:numId="13">
    <w:abstractNumId w:val="32"/>
  </w:num>
  <w:num w:numId="14">
    <w:abstractNumId w:val="18"/>
  </w:num>
  <w:num w:numId="15">
    <w:abstractNumId w:val="47"/>
  </w:num>
  <w:num w:numId="16">
    <w:abstractNumId w:val="19"/>
  </w:num>
  <w:num w:numId="17">
    <w:abstractNumId w:val="37"/>
  </w:num>
  <w:num w:numId="18">
    <w:abstractNumId w:val="27"/>
  </w:num>
  <w:num w:numId="19">
    <w:abstractNumId w:val="10"/>
  </w:num>
  <w:num w:numId="20">
    <w:abstractNumId w:val="44"/>
  </w:num>
  <w:num w:numId="21">
    <w:abstractNumId w:val="20"/>
  </w:num>
  <w:num w:numId="22">
    <w:abstractNumId w:val="16"/>
  </w:num>
  <w:num w:numId="23">
    <w:abstractNumId w:val="23"/>
  </w:num>
  <w:num w:numId="24">
    <w:abstractNumId w:val="2"/>
  </w:num>
  <w:num w:numId="25">
    <w:abstractNumId w:val="7"/>
  </w:num>
  <w:num w:numId="26">
    <w:abstractNumId w:val="14"/>
  </w:num>
  <w:num w:numId="27">
    <w:abstractNumId w:val="1"/>
  </w:num>
  <w:num w:numId="28">
    <w:abstractNumId w:val="42"/>
  </w:num>
  <w:num w:numId="29">
    <w:abstractNumId w:val="48"/>
  </w:num>
  <w:num w:numId="30">
    <w:abstractNumId w:val="29"/>
  </w:num>
  <w:num w:numId="31">
    <w:abstractNumId w:val="45"/>
  </w:num>
  <w:num w:numId="32">
    <w:abstractNumId w:val="41"/>
  </w:num>
  <w:num w:numId="33">
    <w:abstractNumId w:val="33"/>
  </w:num>
  <w:num w:numId="34">
    <w:abstractNumId w:val="43"/>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8"/>
  </w:num>
  <w:num w:numId="44">
    <w:abstractNumId w:val="12"/>
  </w:num>
  <w:num w:numId="45">
    <w:abstractNumId w:val="24"/>
  </w:num>
  <w:num w:numId="46">
    <w:abstractNumId w:val="0"/>
  </w:num>
  <w:num w:numId="47">
    <w:abstractNumId w:val="15"/>
  </w:num>
  <w:num w:numId="48">
    <w:abstractNumId w:val="36"/>
  </w:num>
  <w:num w:numId="49">
    <w:abstractNumId w:val="8"/>
  </w:num>
  <w:num w:numId="50">
    <w:abstractNumId w:val="26"/>
  </w:num>
  <w:num w:numId="51">
    <w:abstractNumId w:val="22"/>
  </w:num>
  <w:num w:numId="52">
    <w:abstractNumId w:val="5"/>
  </w:num>
  <w:num w:numId="53">
    <w:abstractNumId w:val="4"/>
  </w:num>
  <w:num w:numId="54">
    <w:abstractNumId w:val="6"/>
  </w:num>
  <w:num w:numId="55">
    <w:abstractNumId w:val="6"/>
  </w:num>
  <w:num w:numId="5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35F6"/>
    <w:rsid w:val="000037CF"/>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50E04"/>
    <w:rsid w:val="00051A86"/>
    <w:rsid w:val="00055486"/>
    <w:rsid w:val="00057AC0"/>
    <w:rsid w:val="00057C07"/>
    <w:rsid w:val="000635ED"/>
    <w:rsid w:val="0006580B"/>
    <w:rsid w:val="0006653F"/>
    <w:rsid w:val="000679AA"/>
    <w:rsid w:val="00073255"/>
    <w:rsid w:val="00073AA2"/>
    <w:rsid w:val="00082931"/>
    <w:rsid w:val="00082FD1"/>
    <w:rsid w:val="00084BE0"/>
    <w:rsid w:val="00087075"/>
    <w:rsid w:val="000876F0"/>
    <w:rsid w:val="00091FC7"/>
    <w:rsid w:val="00094BBA"/>
    <w:rsid w:val="0009526F"/>
    <w:rsid w:val="000954FE"/>
    <w:rsid w:val="000972C1"/>
    <w:rsid w:val="000972FB"/>
    <w:rsid w:val="000A24DE"/>
    <w:rsid w:val="000A3791"/>
    <w:rsid w:val="000A4228"/>
    <w:rsid w:val="000A6BFA"/>
    <w:rsid w:val="000B1942"/>
    <w:rsid w:val="000B2566"/>
    <w:rsid w:val="000B34C3"/>
    <w:rsid w:val="000B59A6"/>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37532"/>
    <w:rsid w:val="00141A28"/>
    <w:rsid w:val="00144355"/>
    <w:rsid w:val="0014543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7734E"/>
    <w:rsid w:val="00180B4D"/>
    <w:rsid w:val="001823D9"/>
    <w:rsid w:val="001850B5"/>
    <w:rsid w:val="001868EB"/>
    <w:rsid w:val="00187EAF"/>
    <w:rsid w:val="00190B8A"/>
    <w:rsid w:val="00191A95"/>
    <w:rsid w:val="001923AD"/>
    <w:rsid w:val="001962B8"/>
    <w:rsid w:val="001A1D37"/>
    <w:rsid w:val="001A2F9C"/>
    <w:rsid w:val="001A3B69"/>
    <w:rsid w:val="001A71C7"/>
    <w:rsid w:val="001B27B6"/>
    <w:rsid w:val="001B53E7"/>
    <w:rsid w:val="001B554D"/>
    <w:rsid w:val="001B661E"/>
    <w:rsid w:val="001C09FB"/>
    <w:rsid w:val="001C378B"/>
    <w:rsid w:val="001C4A60"/>
    <w:rsid w:val="001D1DE6"/>
    <w:rsid w:val="001D26F2"/>
    <w:rsid w:val="001E2546"/>
    <w:rsid w:val="001E39AC"/>
    <w:rsid w:val="001E4CC6"/>
    <w:rsid w:val="001E61A9"/>
    <w:rsid w:val="001E61C4"/>
    <w:rsid w:val="001F2678"/>
    <w:rsid w:val="001F4143"/>
    <w:rsid w:val="001F566C"/>
    <w:rsid w:val="001F5913"/>
    <w:rsid w:val="001F718A"/>
    <w:rsid w:val="001F7A0E"/>
    <w:rsid w:val="0020202B"/>
    <w:rsid w:val="0020257A"/>
    <w:rsid w:val="00205AC6"/>
    <w:rsid w:val="0022130D"/>
    <w:rsid w:val="0022454D"/>
    <w:rsid w:val="00224906"/>
    <w:rsid w:val="00224A03"/>
    <w:rsid w:val="00232EFD"/>
    <w:rsid w:val="00234668"/>
    <w:rsid w:val="00234A82"/>
    <w:rsid w:val="002352CE"/>
    <w:rsid w:val="00242770"/>
    <w:rsid w:val="00245F86"/>
    <w:rsid w:val="00247D9D"/>
    <w:rsid w:val="002515D5"/>
    <w:rsid w:val="00252F53"/>
    <w:rsid w:val="00255FC2"/>
    <w:rsid w:val="00257CF9"/>
    <w:rsid w:val="00262D4F"/>
    <w:rsid w:val="00266A38"/>
    <w:rsid w:val="00266FAD"/>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96F02"/>
    <w:rsid w:val="002A0462"/>
    <w:rsid w:val="002A3CEA"/>
    <w:rsid w:val="002A5D94"/>
    <w:rsid w:val="002A6646"/>
    <w:rsid w:val="002B0277"/>
    <w:rsid w:val="002B4B88"/>
    <w:rsid w:val="002B796B"/>
    <w:rsid w:val="002C1C39"/>
    <w:rsid w:val="002C7EE5"/>
    <w:rsid w:val="002D1982"/>
    <w:rsid w:val="002D59E5"/>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5C5B"/>
    <w:rsid w:val="003177FB"/>
    <w:rsid w:val="00320E58"/>
    <w:rsid w:val="00326C49"/>
    <w:rsid w:val="00335EC4"/>
    <w:rsid w:val="003363A0"/>
    <w:rsid w:val="00347CB7"/>
    <w:rsid w:val="00360812"/>
    <w:rsid w:val="00364CD5"/>
    <w:rsid w:val="00365759"/>
    <w:rsid w:val="00366638"/>
    <w:rsid w:val="00366CD5"/>
    <w:rsid w:val="00367257"/>
    <w:rsid w:val="0037402F"/>
    <w:rsid w:val="00374B0C"/>
    <w:rsid w:val="003752A2"/>
    <w:rsid w:val="00376EE7"/>
    <w:rsid w:val="003806C2"/>
    <w:rsid w:val="00385597"/>
    <w:rsid w:val="00386575"/>
    <w:rsid w:val="003865FE"/>
    <w:rsid w:val="00386A3B"/>
    <w:rsid w:val="003876EC"/>
    <w:rsid w:val="0039422C"/>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4E70"/>
    <w:rsid w:val="003E6A61"/>
    <w:rsid w:val="003F3B3B"/>
    <w:rsid w:val="003F4D68"/>
    <w:rsid w:val="003F5769"/>
    <w:rsid w:val="0040006E"/>
    <w:rsid w:val="00403753"/>
    <w:rsid w:val="00403829"/>
    <w:rsid w:val="00404162"/>
    <w:rsid w:val="004135C5"/>
    <w:rsid w:val="00415ABD"/>
    <w:rsid w:val="00423904"/>
    <w:rsid w:val="00425A42"/>
    <w:rsid w:val="00431C0B"/>
    <w:rsid w:val="00436F54"/>
    <w:rsid w:val="00440AEA"/>
    <w:rsid w:val="00442617"/>
    <w:rsid w:val="00447046"/>
    <w:rsid w:val="00447E1E"/>
    <w:rsid w:val="00452430"/>
    <w:rsid w:val="00462789"/>
    <w:rsid w:val="00464118"/>
    <w:rsid w:val="00464A68"/>
    <w:rsid w:val="00464E3E"/>
    <w:rsid w:val="00466C28"/>
    <w:rsid w:val="004677E5"/>
    <w:rsid w:val="00471362"/>
    <w:rsid w:val="00471426"/>
    <w:rsid w:val="0047154B"/>
    <w:rsid w:val="00472926"/>
    <w:rsid w:val="0047294B"/>
    <w:rsid w:val="00474F8C"/>
    <w:rsid w:val="00475A01"/>
    <w:rsid w:val="00476D39"/>
    <w:rsid w:val="00480FDF"/>
    <w:rsid w:val="00482346"/>
    <w:rsid w:val="0048509C"/>
    <w:rsid w:val="00487906"/>
    <w:rsid w:val="0049016A"/>
    <w:rsid w:val="00491B62"/>
    <w:rsid w:val="004958A8"/>
    <w:rsid w:val="00497431"/>
    <w:rsid w:val="004A211D"/>
    <w:rsid w:val="004A6E7A"/>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1223"/>
    <w:rsid w:val="004D5A4E"/>
    <w:rsid w:val="004D6D83"/>
    <w:rsid w:val="004D73A4"/>
    <w:rsid w:val="004D774F"/>
    <w:rsid w:val="004E0FA7"/>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2D37"/>
    <w:rsid w:val="00533F63"/>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11FC"/>
    <w:rsid w:val="0058264A"/>
    <w:rsid w:val="00585EC3"/>
    <w:rsid w:val="00590F66"/>
    <w:rsid w:val="005938D6"/>
    <w:rsid w:val="00593B82"/>
    <w:rsid w:val="00593D4A"/>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1E63"/>
    <w:rsid w:val="005D23AE"/>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60D1"/>
    <w:rsid w:val="00606C1E"/>
    <w:rsid w:val="00607EE1"/>
    <w:rsid w:val="0061020B"/>
    <w:rsid w:val="00610779"/>
    <w:rsid w:val="00610E95"/>
    <w:rsid w:val="00613168"/>
    <w:rsid w:val="006138EB"/>
    <w:rsid w:val="00613E5E"/>
    <w:rsid w:val="0061542B"/>
    <w:rsid w:val="006160A3"/>
    <w:rsid w:val="00616A0F"/>
    <w:rsid w:val="00617EB8"/>
    <w:rsid w:val="006212E1"/>
    <w:rsid w:val="00621FDD"/>
    <w:rsid w:val="00622D49"/>
    <w:rsid w:val="00624DF1"/>
    <w:rsid w:val="00625B7C"/>
    <w:rsid w:val="006316F1"/>
    <w:rsid w:val="00631FC0"/>
    <w:rsid w:val="006350A9"/>
    <w:rsid w:val="00635F15"/>
    <w:rsid w:val="00636BD8"/>
    <w:rsid w:val="00637B29"/>
    <w:rsid w:val="00640552"/>
    <w:rsid w:val="00641622"/>
    <w:rsid w:val="00642DEE"/>
    <w:rsid w:val="00645FDD"/>
    <w:rsid w:val="00646620"/>
    <w:rsid w:val="00650D4C"/>
    <w:rsid w:val="00652858"/>
    <w:rsid w:val="006531AC"/>
    <w:rsid w:val="00653717"/>
    <w:rsid w:val="00655DDD"/>
    <w:rsid w:val="006576C7"/>
    <w:rsid w:val="006600C0"/>
    <w:rsid w:val="00661257"/>
    <w:rsid w:val="00661F8E"/>
    <w:rsid w:val="00662AB6"/>
    <w:rsid w:val="00663DCB"/>
    <w:rsid w:val="006643E9"/>
    <w:rsid w:val="006653E5"/>
    <w:rsid w:val="006700C4"/>
    <w:rsid w:val="00671000"/>
    <w:rsid w:val="00672FA4"/>
    <w:rsid w:val="00673111"/>
    <w:rsid w:val="00674A31"/>
    <w:rsid w:val="00674F4E"/>
    <w:rsid w:val="006767F2"/>
    <w:rsid w:val="00677E74"/>
    <w:rsid w:val="00680435"/>
    <w:rsid w:val="00682B6C"/>
    <w:rsid w:val="0068438E"/>
    <w:rsid w:val="00687D87"/>
    <w:rsid w:val="00690674"/>
    <w:rsid w:val="00691856"/>
    <w:rsid w:val="006957BB"/>
    <w:rsid w:val="0069746D"/>
    <w:rsid w:val="006A017E"/>
    <w:rsid w:val="006A0E13"/>
    <w:rsid w:val="006A2971"/>
    <w:rsid w:val="006A5D4D"/>
    <w:rsid w:val="006B4293"/>
    <w:rsid w:val="006B4F35"/>
    <w:rsid w:val="006C5333"/>
    <w:rsid w:val="006D0655"/>
    <w:rsid w:val="006D14C9"/>
    <w:rsid w:val="006D1BC5"/>
    <w:rsid w:val="006D240D"/>
    <w:rsid w:val="006D36A4"/>
    <w:rsid w:val="006E3FD5"/>
    <w:rsid w:val="006E5DE8"/>
    <w:rsid w:val="006F1FA8"/>
    <w:rsid w:val="006F3AEC"/>
    <w:rsid w:val="006F3B69"/>
    <w:rsid w:val="006F3FE9"/>
    <w:rsid w:val="006F40AC"/>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4EE"/>
    <w:rsid w:val="00742752"/>
    <w:rsid w:val="00744DEF"/>
    <w:rsid w:val="00746F94"/>
    <w:rsid w:val="00750272"/>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2E1"/>
    <w:rsid w:val="007B5B00"/>
    <w:rsid w:val="007B7E0F"/>
    <w:rsid w:val="007C4F8E"/>
    <w:rsid w:val="007C6715"/>
    <w:rsid w:val="007C7A2A"/>
    <w:rsid w:val="007D136E"/>
    <w:rsid w:val="007D34B2"/>
    <w:rsid w:val="007D5970"/>
    <w:rsid w:val="007D5EA1"/>
    <w:rsid w:val="007D697D"/>
    <w:rsid w:val="007E2022"/>
    <w:rsid w:val="007E2829"/>
    <w:rsid w:val="007E2CB3"/>
    <w:rsid w:val="007E3FF2"/>
    <w:rsid w:val="007E42F1"/>
    <w:rsid w:val="007E5537"/>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FA0"/>
    <w:rsid w:val="00826BA3"/>
    <w:rsid w:val="00830D3D"/>
    <w:rsid w:val="008323C0"/>
    <w:rsid w:val="00832F5E"/>
    <w:rsid w:val="008338E3"/>
    <w:rsid w:val="00834BA1"/>
    <w:rsid w:val="00836B7A"/>
    <w:rsid w:val="0084048C"/>
    <w:rsid w:val="00847700"/>
    <w:rsid w:val="0085525A"/>
    <w:rsid w:val="00857255"/>
    <w:rsid w:val="00863D22"/>
    <w:rsid w:val="008647D3"/>
    <w:rsid w:val="00865A3F"/>
    <w:rsid w:val="00870888"/>
    <w:rsid w:val="00870E04"/>
    <w:rsid w:val="00871B31"/>
    <w:rsid w:val="0087214F"/>
    <w:rsid w:val="008802DF"/>
    <w:rsid w:val="00881138"/>
    <w:rsid w:val="00884D98"/>
    <w:rsid w:val="00892511"/>
    <w:rsid w:val="00895609"/>
    <w:rsid w:val="0089783F"/>
    <w:rsid w:val="008A1184"/>
    <w:rsid w:val="008A15DD"/>
    <w:rsid w:val="008A48CE"/>
    <w:rsid w:val="008A5935"/>
    <w:rsid w:val="008B0AC7"/>
    <w:rsid w:val="008B539A"/>
    <w:rsid w:val="008B7C82"/>
    <w:rsid w:val="008C09B3"/>
    <w:rsid w:val="008C0A99"/>
    <w:rsid w:val="008C1031"/>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E47"/>
    <w:rsid w:val="009330E7"/>
    <w:rsid w:val="0093426B"/>
    <w:rsid w:val="009354D3"/>
    <w:rsid w:val="009367E4"/>
    <w:rsid w:val="00941B1C"/>
    <w:rsid w:val="00941F4F"/>
    <w:rsid w:val="00943533"/>
    <w:rsid w:val="00943A86"/>
    <w:rsid w:val="00946B8B"/>
    <w:rsid w:val="00947E7B"/>
    <w:rsid w:val="00950681"/>
    <w:rsid w:val="00953FEC"/>
    <w:rsid w:val="00955115"/>
    <w:rsid w:val="00955BD8"/>
    <w:rsid w:val="00961939"/>
    <w:rsid w:val="00963B54"/>
    <w:rsid w:val="00967FA9"/>
    <w:rsid w:val="00973694"/>
    <w:rsid w:val="00974CE2"/>
    <w:rsid w:val="0098030D"/>
    <w:rsid w:val="0098199D"/>
    <w:rsid w:val="00994509"/>
    <w:rsid w:val="00994934"/>
    <w:rsid w:val="00995E82"/>
    <w:rsid w:val="009A1A91"/>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A0008E"/>
    <w:rsid w:val="00A03EAD"/>
    <w:rsid w:val="00A04160"/>
    <w:rsid w:val="00A07BCF"/>
    <w:rsid w:val="00A10976"/>
    <w:rsid w:val="00A17145"/>
    <w:rsid w:val="00A2020C"/>
    <w:rsid w:val="00A2092F"/>
    <w:rsid w:val="00A21F57"/>
    <w:rsid w:val="00A2431E"/>
    <w:rsid w:val="00A243AC"/>
    <w:rsid w:val="00A33683"/>
    <w:rsid w:val="00A342E0"/>
    <w:rsid w:val="00A347AE"/>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3AD8"/>
    <w:rsid w:val="00A84524"/>
    <w:rsid w:val="00A865D4"/>
    <w:rsid w:val="00A90A8E"/>
    <w:rsid w:val="00A91069"/>
    <w:rsid w:val="00A93B7C"/>
    <w:rsid w:val="00A93D0A"/>
    <w:rsid w:val="00A950FF"/>
    <w:rsid w:val="00A974B2"/>
    <w:rsid w:val="00AA2C89"/>
    <w:rsid w:val="00AA30E6"/>
    <w:rsid w:val="00AA4E30"/>
    <w:rsid w:val="00AA5F00"/>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F67"/>
    <w:rsid w:val="00AF5687"/>
    <w:rsid w:val="00AF6606"/>
    <w:rsid w:val="00AF7824"/>
    <w:rsid w:val="00B02CDE"/>
    <w:rsid w:val="00B039F3"/>
    <w:rsid w:val="00B05667"/>
    <w:rsid w:val="00B05B8C"/>
    <w:rsid w:val="00B100FC"/>
    <w:rsid w:val="00B11A90"/>
    <w:rsid w:val="00B1443E"/>
    <w:rsid w:val="00B15AB2"/>
    <w:rsid w:val="00B21609"/>
    <w:rsid w:val="00B219B6"/>
    <w:rsid w:val="00B22272"/>
    <w:rsid w:val="00B23B68"/>
    <w:rsid w:val="00B3523C"/>
    <w:rsid w:val="00B40284"/>
    <w:rsid w:val="00B41989"/>
    <w:rsid w:val="00B43A73"/>
    <w:rsid w:val="00B47BFD"/>
    <w:rsid w:val="00B511A3"/>
    <w:rsid w:val="00B51FAF"/>
    <w:rsid w:val="00B5321E"/>
    <w:rsid w:val="00B571B0"/>
    <w:rsid w:val="00B573B8"/>
    <w:rsid w:val="00B60E88"/>
    <w:rsid w:val="00B73D5A"/>
    <w:rsid w:val="00B74F1A"/>
    <w:rsid w:val="00B7776A"/>
    <w:rsid w:val="00B81A56"/>
    <w:rsid w:val="00B83BAC"/>
    <w:rsid w:val="00B84A0D"/>
    <w:rsid w:val="00B9075F"/>
    <w:rsid w:val="00B924A3"/>
    <w:rsid w:val="00B966CE"/>
    <w:rsid w:val="00B9736A"/>
    <w:rsid w:val="00BA0D09"/>
    <w:rsid w:val="00BA20A3"/>
    <w:rsid w:val="00BA34AE"/>
    <w:rsid w:val="00BA3EDB"/>
    <w:rsid w:val="00BA4E90"/>
    <w:rsid w:val="00BB2CA7"/>
    <w:rsid w:val="00BC3045"/>
    <w:rsid w:val="00BC429B"/>
    <w:rsid w:val="00BC47C6"/>
    <w:rsid w:val="00BC5500"/>
    <w:rsid w:val="00BC58DB"/>
    <w:rsid w:val="00BC5CD1"/>
    <w:rsid w:val="00BC637C"/>
    <w:rsid w:val="00BD1AA4"/>
    <w:rsid w:val="00BD2489"/>
    <w:rsid w:val="00BD471C"/>
    <w:rsid w:val="00BD60F5"/>
    <w:rsid w:val="00BD6B05"/>
    <w:rsid w:val="00BE0949"/>
    <w:rsid w:val="00BE3696"/>
    <w:rsid w:val="00BE4E6B"/>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6104"/>
    <w:rsid w:val="00CA6264"/>
    <w:rsid w:val="00CA671A"/>
    <w:rsid w:val="00CA71D7"/>
    <w:rsid w:val="00CA7F00"/>
    <w:rsid w:val="00CB0C14"/>
    <w:rsid w:val="00CB1C8E"/>
    <w:rsid w:val="00CB2459"/>
    <w:rsid w:val="00CB2FE8"/>
    <w:rsid w:val="00CB330F"/>
    <w:rsid w:val="00CB33E0"/>
    <w:rsid w:val="00CB454C"/>
    <w:rsid w:val="00CC7830"/>
    <w:rsid w:val="00CD02CA"/>
    <w:rsid w:val="00CD5929"/>
    <w:rsid w:val="00CD7E70"/>
    <w:rsid w:val="00CE76BB"/>
    <w:rsid w:val="00CF3C53"/>
    <w:rsid w:val="00CF3F6C"/>
    <w:rsid w:val="00CF54B4"/>
    <w:rsid w:val="00CF54E4"/>
    <w:rsid w:val="00D00776"/>
    <w:rsid w:val="00D04CF9"/>
    <w:rsid w:val="00D06720"/>
    <w:rsid w:val="00D07854"/>
    <w:rsid w:val="00D13D28"/>
    <w:rsid w:val="00D16512"/>
    <w:rsid w:val="00D20E66"/>
    <w:rsid w:val="00D25611"/>
    <w:rsid w:val="00D31308"/>
    <w:rsid w:val="00D34B89"/>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3CB9"/>
    <w:rsid w:val="00D84945"/>
    <w:rsid w:val="00D84990"/>
    <w:rsid w:val="00D902B2"/>
    <w:rsid w:val="00D91641"/>
    <w:rsid w:val="00D919D8"/>
    <w:rsid w:val="00D91ADB"/>
    <w:rsid w:val="00D9325B"/>
    <w:rsid w:val="00D9705C"/>
    <w:rsid w:val="00DA1C8C"/>
    <w:rsid w:val="00DA3292"/>
    <w:rsid w:val="00DB1907"/>
    <w:rsid w:val="00DB1C53"/>
    <w:rsid w:val="00DB1EEE"/>
    <w:rsid w:val="00DB7BAA"/>
    <w:rsid w:val="00DC1911"/>
    <w:rsid w:val="00DC7F49"/>
    <w:rsid w:val="00DD09C7"/>
    <w:rsid w:val="00DD51A5"/>
    <w:rsid w:val="00DD55DD"/>
    <w:rsid w:val="00DD6BEA"/>
    <w:rsid w:val="00DD739A"/>
    <w:rsid w:val="00DD7B79"/>
    <w:rsid w:val="00DE195D"/>
    <w:rsid w:val="00DE26DC"/>
    <w:rsid w:val="00DE409B"/>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8C6"/>
    <w:rsid w:val="00E22B77"/>
    <w:rsid w:val="00E26458"/>
    <w:rsid w:val="00E27E2A"/>
    <w:rsid w:val="00E33EFC"/>
    <w:rsid w:val="00E34250"/>
    <w:rsid w:val="00E34922"/>
    <w:rsid w:val="00E35B4C"/>
    <w:rsid w:val="00E35DA0"/>
    <w:rsid w:val="00E37026"/>
    <w:rsid w:val="00E43622"/>
    <w:rsid w:val="00E510A5"/>
    <w:rsid w:val="00E5164F"/>
    <w:rsid w:val="00E60FB1"/>
    <w:rsid w:val="00E61E8B"/>
    <w:rsid w:val="00E66CB6"/>
    <w:rsid w:val="00E7058F"/>
    <w:rsid w:val="00E73E1D"/>
    <w:rsid w:val="00E75A34"/>
    <w:rsid w:val="00E8215E"/>
    <w:rsid w:val="00E827FA"/>
    <w:rsid w:val="00E84EA5"/>
    <w:rsid w:val="00E9175F"/>
    <w:rsid w:val="00E921FE"/>
    <w:rsid w:val="00E95910"/>
    <w:rsid w:val="00E97045"/>
    <w:rsid w:val="00EA2E95"/>
    <w:rsid w:val="00EA61EA"/>
    <w:rsid w:val="00EA6645"/>
    <w:rsid w:val="00EA6F3E"/>
    <w:rsid w:val="00EA7301"/>
    <w:rsid w:val="00EB3379"/>
    <w:rsid w:val="00EB5C3B"/>
    <w:rsid w:val="00EB7486"/>
    <w:rsid w:val="00EC314E"/>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40646"/>
    <w:rsid w:val="00F43C8B"/>
    <w:rsid w:val="00F52A15"/>
    <w:rsid w:val="00F55A68"/>
    <w:rsid w:val="00F55AF0"/>
    <w:rsid w:val="00F56829"/>
    <w:rsid w:val="00F56921"/>
    <w:rsid w:val="00F56D68"/>
    <w:rsid w:val="00F62004"/>
    <w:rsid w:val="00F64E18"/>
    <w:rsid w:val="00F65792"/>
    <w:rsid w:val="00F732E6"/>
    <w:rsid w:val="00F831BA"/>
    <w:rsid w:val="00F8739C"/>
    <w:rsid w:val="00F91C30"/>
    <w:rsid w:val="00F949A1"/>
    <w:rsid w:val="00F94EFF"/>
    <w:rsid w:val="00F9586C"/>
    <w:rsid w:val="00F96354"/>
    <w:rsid w:val="00F97462"/>
    <w:rsid w:val="00FA2C72"/>
    <w:rsid w:val="00FA420C"/>
    <w:rsid w:val="00FA4339"/>
    <w:rsid w:val="00FA61A0"/>
    <w:rsid w:val="00FB4346"/>
    <w:rsid w:val="00FB724C"/>
    <w:rsid w:val="00FB7370"/>
    <w:rsid w:val="00FC1025"/>
    <w:rsid w:val="00FC364B"/>
    <w:rsid w:val="00FD269E"/>
    <w:rsid w:val="00FD4E47"/>
    <w:rsid w:val="00FD7521"/>
    <w:rsid w:val="00FE0DD1"/>
    <w:rsid w:val="00FE1C38"/>
    <w:rsid w:val="00FF274D"/>
    <w:rsid w:val="00FF68B5"/>
    <w:rsid w:val="00FF6D09"/>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Texte.do?cidTexte=JORFTEXT000000227015&amp;categorieLien=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ntepubliquefran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li.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ancer.fr/Expertises-et-publications/Catalogue-des-publications" TargetMode="External"/><Relationship Id="rId4" Type="http://schemas.microsoft.com/office/2007/relationships/stylesWithEffects" Target="stylesWithEffects.xml"/><Relationship Id="rId9" Type="http://schemas.openxmlformats.org/officeDocument/2006/relationships/hyperlink" Target="https://www.e-cancer.fr/Expertises-et-publications/Catalogue-des-publications" TargetMode="External"/><Relationship Id="rId14" Type="http://schemas.openxmlformats.org/officeDocument/2006/relationships/hyperlink" Target="https://www.legifrance.gouv.fr/jorf/id/JORFTEXT0000367631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1271-29DB-4E40-8D32-EB3616F7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5159</Words>
  <Characters>28376</Characters>
  <Application>Microsoft Office Word</Application>
  <DocSecurity>4</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33469</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LORDON MARIE (CPAM LANDES)</cp:lastModifiedBy>
  <cp:revision>2</cp:revision>
  <cp:lastPrinted>2018-12-14T11:43:00Z</cp:lastPrinted>
  <dcterms:created xsi:type="dcterms:W3CDTF">2023-05-04T11:46:00Z</dcterms:created>
  <dcterms:modified xsi:type="dcterms:W3CDTF">2023-05-04T11:46:00Z</dcterms:modified>
</cp:coreProperties>
</file>